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módulos"/>
    <w:p>
      <w:pPr>
        <w:pStyle w:val="Heading2"/>
      </w:pPr>
      <w:r>
        <w:t xml:space="preserve">Migracion.1a.SIU módulos</w:t>
      </w:r>
    </w:p>
    <w:bookmarkStart w:id="0" w:name="fig:Migracion.1a.SIUmódulos"/>
    <w:p>
      <w:pPr>
        <w:pStyle w:val="CaptionedFigure"/>
      </w:pPr>
      <w:bookmarkStart w:id="23" w:name="fig:Migracion.1a.SIUmódulos"/>
      <w:r>
        <w:drawing>
          <wp:inline>
            <wp:extent cx="5943600" cy="3833926"/>
            <wp:effectExtent b="0" l="0" r="0" t="0"/>
            <wp:docPr descr="Figure 1: Diagram: Migracion.1a.SIU módulos" title="" id="21" name="Picture"/>
            <a:graphic>
              <a:graphicData uri="http://schemas.openxmlformats.org/drawingml/2006/picture">
                <pic:pic>
                  <pic:nvPicPr>
                    <pic:cNvPr descr="images/Migracion.1a.SIUmódulos.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Migracion.1a.SIU módulos</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2023-10-17T02:49:31Z</dcterms:created>
  <dcterms:modified xsi:type="dcterms:W3CDTF">2023-10-17T02:49:31Z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