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1.-siu-módulos-componentes"/>
    <w:p>
      <w:pPr>
        <w:pStyle w:val="Heading2"/>
      </w:pPr>
      <w:r>
        <w:t xml:space="preserve">Migracion.1b.1. SIU Módulos Componentes</w:t>
      </w:r>
    </w:p>
    <w:bookmarkStart w:id="0" w:name="fig:Migracion.1b.1.SIUMódulosComponentes"/>
    <w:p>
      <w:pPr>
        <w:pStyle w:val="CaptionedFigure"/>
      </w:pPr>
      <w:bookmarkStart w:id="23" w:name="fig:Migracion.1b.1.SIUMódulosComponentes"/>
      <w:r>
        <w:drawing>
          <wp:inline>
            <wp:extent cx="5943600" cy="3553962"/>
            <wp:effectExtent b="0" l="0" r="0" t="0"/>
            <wp:docPr descr="Figure 1: Diagram: Migracion.1b.1. SIU Módulos Componentes" title="" id="21" name="Picture"/>
            <a:graphic>
              <a:graphicData uri="http://schemas.openxmlformats.org/drawingml/2006/picture">
                <pic:pic>
                  <pic:nvPicPr>
                    <pic:cNvPr descr="images/Migracion.1b.1.SIUMódulosComponentes.png" id="22" name="Picture"/>
                    <pic:cNvPicPr>
                      <a:picLocks noChangeArrowheads="1" noChangeAspect="1"/>
                    </pic:cNvPicPr>
                  </pic:nvPicPr>
                  <pic:blipFill>
                    <a:blip r:embed="rId20"/>
                    <a:stretch>
                      <a:fillRect/>
                    </a:stretch>
                  </pic:blipFill>
                  <pic:spPr bwMode="auto">
                    <a:xfrm>
                      <a:off x="0" y="0"/>
                      <a:ext cx="5943600" cy="3553962"/>
                    </a:xfrm>
                    <a:prstGeom prst="rect">
                      <a:avLst/>
                    </a:prstGeom>
                    <a:noFill/>
                    <a:ln w="9525">
                      <a:noFill/>
                      <a:headEnd/>
                      <a:tailEnd/>
                    </a:ln>
                  </pic:spPr>
                </pic:pic>
              </a:graphicData>
            </a:graphic>
          </wp:inline>
        </w:drawing>
      </w:r>
      <w:bookmarkEnd w:id="23"/>
    </w:p>
    <w:p>
      <w:pPr>
        <w:pStyle w:val="ImageCaption"/>
      </w:pPr>
      <w:r>
        <w:t xml:space="preserve">Figure 1: Diagram: Migracion.1b.1. SIU Módulos Componentes</w:t>
      </w:r>
    </w:p>
    <w:bookmarkEnd w:id="0"/>
    <w:p>
      <w:pPr>
        <w:pStyle w:val="BodyText"/>
      </w:pPr>
      <w:r>
        <w:t xml:space="preserve">Presentación de los componentes internos de los submódulos del sistema único de información migrado, SUI de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CU ejecutable</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CU ejecutable (n)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Función PGN</w:t>
            </w:r>
          </w:p>
        </w:tc>
        <w:tc>
          <w:tcPr/>
          <w:p>
            <w:pPr>
              <w:pStyle w:val="Compact"/>
              <w:jc w:val="left"/>
            </w:pPr>
            <w:r>
              <w:t xml:space="preserve">application-component</w:t>
            </w:r>
          </w:p>
        </w:tc>
        <w:tc>
          <w:tcPr/>
          <w:p>
            <w:pPr>
              <w:pStyle w:val="Compact"/>
              <w:jc w:val="left"/>
            </w:pPr>
            <w:r>
              <w:t xml:space="preserve">La unidad de cómputo que resulta en la aplicación de una regla de negocio.</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Application Service (n)</w:t>
            </w:r>
          </w:p>
        </w:tc>
        <w:tc>
          <w:tcPr/>
          <w:p>
            <w:pPr>
              <w:pStyle w:val="Compact"/>
              <w:jc w:val="left"/>
            </w:pPr>
            <w:r>
              <w:t xml:space="preserve">application-service</w:t>
            </w:r>
          </w:p>
        </w:tc>
        <w:tc>
          <w:tcPr/>
          <w:p>
            <w:pPr>
              <w:pStyle w:val="Compact"/>
              <w:jc w:val="left"/>
            </w:pPr>
            <w:r>
              <w:t xml:space="preserve">Implementación de un caso de uso de negocio, independiente y demostrable. Contiene a la unidad ejecutable del CU y a la entidad</w:t>
            </w:r>
          </w:p>
        </w:tc>
        <w:tc>
          <w:tcPr/>
          <w:p>
            <w:pPr>
              <w:pStyle w:val="Compact"/>
            </w:pPr>
          </w:p>
        </w:tc>
      </w:tr>
      <w:tr>
        <w:tc>
          <w:tcPr/>
          <w:p>
            <w:pPr>
              <w:pStyle w:val="Compact"/>
              <w:jc w:val="left"/>
            </w:pPr>
            <w:r>
              <w:rPr>
                <w:bCs/>
                <w:b/>
              </w:rPr>
              <w:t xml:space="preserve">Application Service 1</w:t>
            </w:r>
          </w:p>
        </w:tc>
        <w:tc>
          <w:tcPr/>
          <w:p>
            <w:pPr>
              <w:pStyle w:val="Compact"/>
              <w:jc w:val="left"/>
            </w:pPr>
            <w:r>
              <w:t xml:space="preserve">application-service</w:t>
            </w:r>
          </w:p>
        </w:tc>
        <w:tc>
          <w:tcPr/>
          <w:p>
            <w:pPr>
              <w:pStyle w:val="Compact"/>
              <w:jc w:val="left"/>
            </w:pPr>
            <w:r>
              <w:t xml:space="preserve">Implementación de un caso de uso de negocio, independiente y demostrable. Contiene a la unidad ejecutable del CU y reutiliza (accede a) una entidad de negocio, que puede ser también una función PGN.</w:t>
            </w:r>
          </w:p>
        </w:tc>
        <w:tc>
          <w:tcPr/>
          <w:p>
            <w:pPr>
              <w:pStyle w:val="Compact"/>
            </w:pP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Entidad negocio PGN</w:t>
            </w:r>
          </w:p>
        </w:tc>
        <w:tc>
          <w:tcPr/>
          <w:p>
            <w:pPr>
              <w:pStyle w:val="Compact"/>
              <w:jc w:val="left"/>
            </w:pPr>
            <w:r>
              <w:t xml:space="preserve">business-object</w:t>
            </w:r>
          </w:p>
        </w:tc>
        <w:tc>
          <w:tcPr/>
          <w:p>
            <w:pPr>
              <w:pStyle w:val="Compact"/>
              <w:jc w:val="left"/>
            </w:pPr>
            <w:r>
              <w:t xml:space="preserve">Repreesnta un objeto de negocio del contexto de la entidad PGN,, por ejemplo: un decreto, una intervención, una conciliación.</w:t>
            </w: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Negocio</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2023-11-09T15:04:23Z</dcterms:created>
  <dcterms:modified xsi:type="dcterms:W3CDTF">2023-11-09T15:04:23Z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