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1.-siu-módulos-componentes"/>
    <w:p>
      <w:pPr>
        <w:pStyle w:val="Heading2"/>
      </w:pPr>
      <w:r>
        <w:t xml:space="preserve">Migracion.1b.1. SIU Módulos Componentes</w:t>
      </w:r>
    </w:p>
    <w:bookmarkStart w:id="0" w:name="fig:Migracion.1b.1.SIUMódulosComponentes"/>
    <w:p>
      <w:pPr>
        <w:pStyle w:val="CaptionedFigure"/>
      </w:pPr>
      <w:bookmarkStart w:id="23" w:name="fig:Migracion.1b.1.SIUMódulosComponentes"/>
      <w:r>
        <w:drawing>
          <wp:inline>
            <wp:extent cx="5943600" cy="4213746"/>
            <wp:effectExtent b="0" l="0" r="0" t="0"/>
            <wp:docPr descr="Figure 1: Diagram: Migracion.1b.1. SIU Módulos Componentes" title="" id="21" name="Picture"/>
            <a:graphic>
              <a:graphicData uri="http://schemas.openxmlformats.org/drawingml/2006/picture">
                <pic:pic>
                  <pic:nvPicPr>
                    <pic:cNvPr descr="images/Migracion.1b.1.SIUMódulosComponentes.png" id="22" name="Picture"/>
                    <pic:cNvPicPr>
                      <a:picLocks noChangeArrowheads="1" noChangeAspect="1"/>
                    </pic:cNvPicPr>
                  </pic:nvPicPr>
                  <pic:blipFill>
                    <a:blip r:embed="rId20"/>
                    <a:stretch>
                      <a:fillRect/>
                    </a:stretch>
                  </pic:blipFill>
                  <pic:spPr bwMode="auto">
                    <a:xfrm>
                      <a:off x="0" y="0"/>
                      <a:ext cx="5943600" cy="4213746"/>
                    </a:xfrm>
                    <a:prstGeom prst="rect">
                      <a:avLst/>
                    </a:prstGeom>
                    <a:noFill/>
                    <a:ln w="9525">
                      <a:noFill/>
                      <a:headEnd/>
                      <a:tailEnd/>
                    </a:ln>
                  </pic:spPr>
                </pic:pic>
              </a:graphicData>
            </a:graphic>
          </wp:inline>
        </w:drawing>
      </w:r>
      <w:bookmarkEnd w:id="23"/>
    </w:p>
    <w:p>
      <w:pPr>
        <w:pStyle w:val="ImageCaption"/>
      </w:pPr>
      <w:r>
        <w:t xml:space="preserve">Figure 1: Diagram: Migracion.1b.1. SIU Módulos Componentes</w:t>
      </w:r>
    </w:p>
    <w:bookmarkEnd w:id="0"/>
    <w:p>
      <w:pPr>
        <w:pStyle w:val="BodyText"/>
      </w:pPr>
      <w:r>
        <w:t xml:space="preserve">Presentación de los componentes internos de los submódulos del sistema único de información migrado, SUI de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Ethikal Hacking.</w:t>
            </w:r>
            <w:r>
              <w:t xml:space="preserve"> </w:t>
            </w:r>
            <w:r>
              <w:t xml:space="preserve">Protección de datos personales,</w:t>
            </w:r>
            <w:r>
              <w:t xml:space="preserve"> </w:t>
            </w:r>
            <w:r>
              <w:t xml:space="preserve">Los sistemas de información que recogen, procesan y almacenan información de los derechos de las personas se deben almacenar de forma adecuada, la información que pueda ser vulnerada puede generar obliaciones legales y éticas con respecto a la perdida de informacion confidencial por parte de ciudadanos del pais.</w:t>
            </w:r>
            <w:r>
              <w:t xml:space="preserve"> </w:t>
            </w:r>
            <w:r>
              <w:t xml:space="preserve">La informacion contenida en las bases de datos debe tener los mecanismos de cifrado que en otros apartados se han mencionado.</w:t>
            </w:r>
            <w:r>
              <w:t xml:space="preserve"> </w:t>
            </w:r>
            <w:r>
              <w:t xml:space="preserve">La legislación que hay que tener como referencia, ley 1581 de 2012. Decreto 1377 de 2013</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p>
        </w:tc>
        <w:tc>
          <w:tcPr/>
          <w:p>
            <w:pPr>
              <w:pStyle w:val="Compact"/>
              <w:jc w:val="left"/>
            </w:pPr>
            <w:r>
              <w:rPr>
                <w:iCs/>
                <w:i/>
              </w:rPr>
              <w:t xml:space="preserve">plantilla:</w:t>
            </w:r>
            <w:r>
              <w:t xml:space="preserve"> </w:t>
            </w:r>
            <w:r>
              <w:t xml:space="preserve">element-md-bold</w:t>
            </w:r>
            <w:r>
              <w:rPr>
                <w:iCs/>
                <w:i/>
              </w:rPr>
              <w:t xml:space="preserve">brecha:</w:t>
            </w:r>
            <w:r>
              <w:t xml:space="preserve"> </w:t>
            </w:r>
            <w:r>
              <w:t xml:space="preserve">100</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jc w:val="left"/>
            </w:pPr>
            <w:r>
              <w:t xml:space="preserve">A partir de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 se realizaran pruebas de seguridad a partir del analisis de vulnerabilidades, y pruebas de Ethical Hacking.</w:t>
            </w:r>
            <w:r>
              <w:t xml:space="preserve"> </w:t>
            </w:r>
            <w:r>
              <w:t xml:space="preserve">Los resultados permitirán identificar los requisitos de seguridad que los sistemas de informacion o servicios web deberán cumplir.</w:t>
            </w:r>
            <w:r>
              <w:t xml:space="preserve">La metodologia empleada tendrá las siguientes fases:</w:t>
            </w:r>
            <w:r>
              <w:t xml:space="preserve"> </w:t>
            </w:r>
            <w:r>
              <w:t xml:space="preserve">• FASE DE RECONOCIMIENTO:</w:t>
            </w:r>
            <w:r>
              <w:t xml:space="preserve"> </w:t>
            </w:r>
            <w:r>
              <w:t xml:space="preserve">Se recolectará toda la información posible, usando diferentes técnicas como:</w:t>
            </w:r>
            <w:r>
              <w:t xml:space="preserve">o Recopilación de dominios/IPs/puertos/servicios</w:t>
            </w:r>
            <w:r>
              <w:t xml:space="preserve">o Recopilación de metadatos</w:t>
            </w:r>
            <w:r>
              <w:t xml:space="preserve">o Uso de Google Dorks.</w:t>
            </w:r>
            <w:r>
              <w:t xml:space="preserve">• ANÁLSIS DE VULNERABILIDADES:</w:t>
            </w:r>
            <w:r>
              <w:t xml:space="preserve"> </w:t>
            </w:r>
            <w:r>
              <w:t xml:space="preserve">Se analizará la información recopilada en la fase anterior y se realizará el descubrimiento de las vulnerabilidades.</w:t>
            </w:r>
            <w:r>
              <w:t xml:space="preserve"> </w:t>
            </w:r>
            <w:r>
              <w:t xml:space="preserve">• EXPLOTACIÓN:</w:t>
            </w:r>
            <w:r>
              <w:t xml:space="preserve"> </w:t>
            </w:r>
            <w:r>
              <w:t xml:space="preserve">• Se realizarán todas aquellas acciones que puedan comprometer al sistema auditado, las pruebas a implementar pueden ser de ataques tipo:</w:t>
            </w:r>
            <w:r>
              <w:t xml:space="preserve"> </w:t>
            </w:r>
            <w:r>
              <w:t xml:space="preserve">o Inyección de código</w:t>
            </w:r>
            <w:r>
              <w:t xml:space="preserve">o Inclusión de ficheros locales o remotos</w:t>
            </w:r>
            <w:r>
              <w:t xml:space="preserve">o Evasión de autenticación</w:t>
            </w:r>
            <w:r>
              <w:t xml:space="preserve">o Carencia de controles de autorización</w:t>
            </w:r>
            <w:r>
              <w:t xml:space="preserve">o Ejecución de comandos en el lado del servidor</w:t>
            </w:r>
            <w:r>
              <w:t xml:space="preserve">o Ataques tipo Cross Site Request Forgery</w:t>
            </w:r>
            <w:r>
              <w:t xml:space="preserve">o Control de errores</w:t>
            </w:r>
            <w:r>
              <w:t xml:space="preserve">o Gestión de sesiones</w:t>
            </w:r>
            <w:r>
              <w:t xml:space="preserve">o Fugas de información</w:t>
            </w:r>
            <w:r>
              <w:t xml:space="preserve">o Secuestros de sesión</w:t>
            </w:r>
            <w:r>
              <w:t xml:space="preserve">o Comprobación de las condiciones para realizar una denegación de servicio.</w:t>
            </w:r>
            <w:r>
              <w:t xml:space="preserve"> </w:t>
            </w:r>
            <w:r>
              <w:t xml:space="preserve">• POST EXPLOTACIÓN:</w:t>
            </w:r>
            <w:r>
              <w:t xml:space="preserve">En caso de encontrarse una vulnerabilidad que permita realizar otras acciones en el sistema auditado o en su entorno, se realizarán controles adiciones con el objetivo de comprobar la criticidad de esta.</w:t>
            </w:r>
            <w:r>
              <w:t xml:space="preserve">No URL IP</w:t>
            </w:r>
            <w:r>
              <w:t xml:space="preserve">1. https://runtimetest.lappiz.io/#/auth/login/PGN_Lappiz</w:t>
            </w:r>
            <w:r>
              <w:t xml:space="preserve">135.181.185.207</w:t>
            </w:r>
            <w:r>
              <w:t xml:space="preserve">El Login deberá evidenciar el control de errores, al momento de realizar la validación deberá mensaje de error para el caso que se autentique con credenciales erradas.</w:t>
            </w: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CU ejecutable</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CU ejecutable (n)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Función PGN</w:t>
            </w:r>
          </w:p>
        </w:tc>
        <w:tc>
          <w:tcPr/>
          <w:p>
            <w:pPr>
              <w:pStyle w:val="Compact"/>
              <w:jc w:val="left"/>
            </w:pPr>
            <w:r>
              <w:t xml:space="preserve">application-component</w:t>
            </w:r>
          </w:p>
        </w:tc>
        <w:tc>
          <w:tcPr/>
          <w:p>
            <w:pPr>
              <w:pStyle w:val="Compact"/>
              <w:jc w:val="left"/>
            </w:pPr>
            <w:r>
              <w:t xml:space="preserve">La unidad de cómputo que resulta en la aplicación de una regla de negocio.</w:t>
            </w: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r>
              <w:rPr>
                <w:iCs/>
                <w:i/>
              </w:rPr>
              <w:t xml:space="preserve">brecha:</w:t>
            </w:r>
            <w:r>
              <w:t xml:space="preserve"> </w:t>
            </w:r>
            <w:r>
              <w:t xml:space="preserve">100</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jc w:val="left"/>
            </w:pPr>
            <w:r>
              <w:t xml:space="preserve">- Verificados los SSL, se recomienda adquirir SSL seguros, con entidades certificadoras.</w:t>
            </w:r>
            <w:r>
              <w:t xml:space="preserve"> </w:t>
            </w:r>
            <w:r>
              <w:t xml:space="preserve">Si se desea continuar con SSL de Let’s Encrypt, se recomienda automatizar el proceso de actualización dado que al dejar estos en modo actualización manual es probable el olvido de esta actualización (Estos certificados se deben actualizar trimestralmente y no cuentan con las características de seguridad necesarias.</w:t>
            </w:r>
            <w:r>
              <w:t xml:space="preserve"> </w:t>
            </w:r>
            <w:r>
              <w:t xml:space="preserve">4. SERVICIOS IDENTIFICADOS:</w:t>
            </w: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jc w:val="left"/>
            </w:pPr>
            <w:r>
              <w:t xml:space="preserve">Servidor web: Microsoft-IIS/10.0</w:t>
            </w:r>
            <w:r>
              <w:t xml:space="preserve"> </w:t>
            </w:r>
            <w:r>
              <w:t xml:space="preserve">Marco de Programación: ASP.NET</w:t>
            </w:r>
            <w:r>
              <w:t xml:space="preserve">Huellas digitales identificadas:</w:t>
            </w:r>
            <w:r>
              <w:t xml:space="preserve"> </w:t>
            </w:r>
            <w:r>
              <w:t xml:space="preserve">Huella digital SHA-256</w:t>
            </w:r>
            <w:r>
              <w:t xml:space="preserve"> </w:t>
            </w:r>
            <w:r>
              <w:t xml:space="preserve">“</w:t>
            </w:r>
            <w:r>
              <w:t xml:space="preserve">FC:79:06:7E:F5:24:20:50:F1:C0:74:F7:85:56:B9:05:B7:33:A3:2D:44:A0:48</w:t>
            </w:r>
            <w:r>
              <w:t xml:space="preserve">”</w:t>
            </w:r>
            <w:r>
              <w:t xml:space="preserve">Huella digital SHA1</w:t>
            </w:r>
            <w:r>
              <w:t xml:space="preserve"> </w:t>
            </w:r>
            <w:r>
              <w:t xml:space="preserve">“</w:t>
            </w:r>
            <w:r>
              <w:t xml:space="preserve">8C:48:BD:E2:F5:18:18:C3:85:96:68:44:2E:28:A0:68:08:2F:0A:BE</w:t>
            </w:r>
            <w:r>
              <w:t xml:space="preserve">”</w:t>
            </w: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r>
              <w:rPr>
                <w:iCs/>
                <w:i/>
              </w:rPr>
              <w:t xml:space="preserve">brecha:</w:t>
            </w:r>
            <w:r>
              <w:t xml:space="preserve"> </w:t>
            </w:r>
            <w:r>
              <w:t xml:space="preserve">100</w:t>
            </w:r>
          </w:p>
        </w:tc>
      </w:tr>
      <w:tr>
        <w:tc>
          <w:tcPr/>
          <w:p>
            <w:pPr>
              <w:pStyle w:val="Compact"/>
              <w:jc w:val="left"/>
            </w:pPr>
            <w:r>
              <w:rPr>
                <w:bCs/>
                <w:b/>
              </w:rPr>
              <w:t xml:space="preserve">Application Service (n)</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a la entidad</w:t>
            </w:r>
          </w:p>
        </w:tc>
        <w:tc>
          <w:tcPr/>
          <w:p>
            <w:pPr>
              <w:pStyle w:val="Compact"/>
            </w:pPr>
          </w:p>
        </w:tc>
      </w:tr>
      <w:tr>
        <w:tc>
          <w:tcPr/>
          <w:p>
            <w:pPr>
              <w:pStyle w:val="Compact"/>
              <w:jc w:val="left"/>
            </w:pPr>
            <w:r>
              <w:rPr>
                <w:bCs/>
                <w:b/>
              </w:rPr>
              <w:t xml:space="preserve">Application Service 1</w:t>
            </w:r>
          </w:p>
        </w:tc>
        <w:tc>
          <w:tcPr/>
          <w:p>
            <w:pPr>
              <w:pStyle w:val="Compact"/>
              <w:jc w:val="left"/>
            </w:pPr>
            <w:r>
              <w:t xml:space="preserve">application-service</w:t>
            </w:r>
          </w:p>
        </w:tc>
        <w:tc>
          <w:tcPr/>
          <w:p>
            <w:pPr>
              <w:pStyle w:val="Compact"/>
              <w:jc w:val="left"/>
            </w:pPr>
            <w:r>
              <w:t xml:space="preserve">Implementación de un caso de uso de negocio, independiente y demostrable. Contiene a la unidad ejecutable del CU y reutiliza (accede a) una entidad de negocio, que puede ser también una función PGN.</w:t>
            </w:r>
          </w:p>
        </w:tc>
        <w:tc>
          <w:tcPr/>
          <w:p>
            <w:pPr>
              <w:pStyle w:val="Compact"/>
            </w:pP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jc w:val="left"/>
            </w:pPr>
            <w:r>
              <w:rPr>
                <w:iCs/>
                <w:i/>
              </w:rPr>
              <w:t xml:space="preserve">brecha:</w:t>
            </w:r>
            <w:r>
              <w:t xml:space="preserve"> </w:t>
            </w:r>
            <w:r>
              <w:t xml:space="preserve">100</w:t>
            </w:r>
          </w:p>
        </w:tc>
      </w:tr>
      <w:tr>
        <w:tc>
          <w:tcPr/>
          <w:p>
            <w:pPr>
              <w:pStyle w:val="Compact"/>
              <w:jc w:val="left"/>
            </w:pPr>
            <w:r>
              <w:rPr>
                <w:bCs/>
                <w:b/>
              </w:rPr>
              <w:t xml:space="preserve">Entidad negocio PGN</w:t>
            </w:r>
          </w:p>
        </w:tc>
        <w:tc>
          <w:tcPr/>
          <w:p>
            <w:pPr>
              <w:pStyle w:val="Compact"/>
              <w:jc w:val="left"/>
            </w:pPr>
            <w:r>
              <w:t xml:space="preserve">business-object</w:t>
            </w:r>
          </w:p>
        </w:tc>
        <w:tc>
          <w:tcPr/>
          <w:p>
            <w:pPr>
              <w:pStyle w:val="Compact"/>
              <w:jc w:val="left"/>
            </w:pPr>
            <w:r>
              <w:t xml:space="preserve">Repreesnta un objeto de negocio del contexto de la entidad PGN,, por ejemplo: un decreto, una intervención, una conciliación.</w:t>
            </w:r>
          </w:p>
        </w:tc>
        <w:tc>
          <w:tcPr/>
          <w:p>
            <w:pPr>
              <w:pStyle w:val="Compact"/>
            </w:pPr>
          </w:p>
        </w:tc>
      </w:tr>
      <w:tr>
        <w:tc>
          <w:tcPr/>
          <w:p>
            <w:pPr>
              <w:pStyle w:val="Compact"/>
              <w:jc w:val="left"/>
            </w:pPr>
            <w:r>
              <w:rPr>
                <w:bCs/>
                <w:b/>
              </w:rPr>
              <w:t xml:space="preserve">ARQ01. Consistencia SUI</w:t>
            </w:r>
          </w:p>
        </w:tc>
        <w:tc>
          <w:tcPr/>
          <w:p>
            <w:pPr>
              <w:pStyle w:val="Compact"/>
              <w:jc w:val="left"/>
            </w:pPr>
            <w:r>
              <w:t xml:space="preserve">constraint</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 Calidad sistémica: 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c>
          <w:tcPr/>
          <w:p>
            <w:pPr>
              <w:pStyle w:val="Compact"/>
            </w:pPr>
          </w:p>
        </w:tc>
      </w:tr>
      <w:tr>
        <w:tc>
          <w:tcPr/>
          <w:p>
            <w:pPr>
              <w:pStyle w:val="Compact"/>
              <w:jc w:val="left"/>
            </w:pPr>
            <w:r>
              <w:rPr>
                <w:bCs/>
                <w:b/>
              </w:rPr>
              <w:t xml:space="preserve">ARQ02. Mantenibilidad SUI</w:t>
            </w:r>
          </w:p>
        </w:tc>
        <w:tc>
          <w:tcPr/>
          <w:p>
            <w:pPr>
              <w:pStyle w:val="Compact"/>
              <w:jc w:val="left"/>
            </w:pPr>
            <w:r>
              <w:t xml:space="preserve">constraint</w:t>
            </w:r>
          </w:p>
        </w:tc>
        <w:tc>
          <w:tcPr/>
          <w:p>
            <w:pPr>
              <w:pStyle w:val="Compact"/>
              <w:jc w:val="left"/>
            </w:pPr>
            <w:r>
              <w:t xml:space="preserve">Evitar las dependencia transitivas de los módulos misionales del SUI a componentes y sistemas de terceros o submódulos no misionales. Calidad sistémica: 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c>
          <w:tcPr/>
          <w:p>
            <w:pPr>
              <w:pStyle w:val="Compact"/>
            </w:pPr>
          </w:p>
        </w:tc>
      </w:tr>
      <w:tr>
        <w:tc>
          <w:tcPr/>
          <w:p>
            <w:pPr>
              <w:pStyle w:val="Compact"/>
              <w:jc w:val="left"/>
            </w:pPr>
            <w:r>
              <w:rPr>
                <w:bCs/>
                <w:b/>
              </w:rPr>
              <w:t xml:space="preserve">ARQ03. Extensibilidad SUI</w:t>
            </w:r>
          </w:p>
        </w:tc>
        <w:tc>
          <w:tcPr/>
          <w:p>
            <w:pPr>
              <w:pStyle w:val="Compact"/>
              <w:jc w:val="left"/>
            </w:pPr>
            <w:r>
              <w:t xml:space="preserve">constraint</w:t>
            </w:r>
          </w:p>
        </w:tc>
        <w:tc>
          <w:tcPr/>
          <w:p>
            <w:pPr>
              <w:pStyle w:val="Compact"/>
              <w:jc w:val="left"/>
            </w:pPr>
            <w:r>
              <w:t xml:space="preserve">Concentración de los componentes de negocio, misionales, del SUI protegidos de cambios provenientes de otros sistemas. Ver Patrón de Diseño Migración SUI, más adelante en el documento. Calidad sistémica: la extensibilidad que optimiza el diseño Migración SUI está dada por el intercambio de submódulos no misionales, como el gestor documental, sin afectación de los componentes misionales que este diseño protege.</w:t>
            </w: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Negocio</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2023-11-15T18:52:30Z</dcterms:created>
  <dcterms:modified xsi:type="dcterms:W3CDTF">2023-11-15T18:52:30Z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