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iu-submodulos-colaboración"/>
    <w:p>
      <w:pPr>
        <w:pStyle w:val="Heading2"/>
      </w:pPr>
      <w:r>
        <w:t xml:space="preserve">Migracion.1b.SIU submodulos colaboración</w:t>
      </w:r>
    </w:p>
    <w:bookmarkStart w:id="0" w:name="fig:Migracion.1b.SIUsubmoduloscolaboración"/>
    <w:p>
      <w:pPr>
        <w:pStyle w:val="CaptionedFigure"/>
      </w:pPr>
      <w:bookmarkStart w:id="23" w:name="X3f3bdff503065abbd60300945da3967320c5776"/>
      <w:r>
        <w:drawing>
          <wp:inline>
            <wp:extent cx="5943600" cy="4721209"/>
            <wp:effectExtent b="0" l="0" r="0" t="0"/>
            <wp:docPr descr="Figure 1: Diagram: Migracion.1b.SIU submodulos colaboración" title="" id="21" name="Picture"/>
            <a:graphic>
              <a:graphicData uri="http://schemas.openxmlformats.org/drawingml/2006/picture">
                <pic:pic>
                  <pic:nvPicPr>
                    <pic:cNvPr descr="images/Migracion.1b.SIUsub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Migracion.1b.SIU submodulos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2023-09-28T17:20:20Z</dcterms:created>
  <dcterms:modified xsi:type="dcterms:W3CDTF">2023-09-28T17:20:20Z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