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0.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5" w:name="migracion.1c.siu-modulos-colaboración"/>
    <w:p>
      <w:pPr>
        <w:pStyle w:val="Heading2"/>
      </w:pPr>
      <w:r>
        <w:t xml:space="preserve">Migracion.1c.SIU Modulos Colaboración</w:t>
      </w:r>
    </w:p>
    <w:bookmarkStart w:id="0" w:name="fig:Migracion.1c.SIUModulosColaboración"/>
    <w:p>
      <w:pPr>
        <w:pStyle w:val="CaptionedFigure"/>
      </w:pPr>
      <w:bookmarkStart w:id="23" w:name="fig:Migracion.1c.SIUModulosColaboración"/>
      <w:r>
        <w:drawing>
          <wp:inline>
            <wp:extent cx="5943600" cy="4879813"/>
            <wp:effectExtent b="0" l="0" r="0" t="0"/>
            <wp:docPr descr="Figure 1: Diagram: Migracion.1c.SIU Modulos Colaboración" title="" id="21" name="Picture"/>
            <a:graphic>
              <a:graphicData uri="http://schemas.openxmlformats.org/drawingml/2006/picture">
                <pic:pic>
                  <pic:nvPicPr>
                    <pic:cNvPr descr="images/Migracion.1c.SIUModulosColaboración.png" id="22" name="Picture"/>
                    <pic:cNvPicPr>
                      <a:picLocks noChangeArrowheads="1" noChangeAspect="1"/>
                    </pic:cNvPicPr>
                  </pic:nvPicPr>
                  <pic:blipFill>
                    <a:blip r:embed="rId20"/>
                    <a:stretch>
                      <a:fillRect/>
                    </a:stretch>
                  </pic:blipFill>
                  <pic:spPr bwMode="auto">
                    <a:xfrm>
                      <a:off x="0" y="0"/>
                      <a:ext cx="5943600" cy="4879813"/>
                    </a:xfrm>
                    <a:prstGeom prst="rect">
                      <a:avLst/>
                    </a:prstGeom>
                    <a:noFill/>
                    <a:ln w="9525">
                      <a:noFill/>
                      <a:headEnd/>
                      <a:tailEnd/>
                    </a:ln>
                  </pic:spPr>
                </pic:pic>
              </a:graphicData>
            </a:graphic>
          </wp:inline>
        </w:drawing>
      </w:r>
      <w:bookmarkEnd w:id="23"/>
    </w:p>
    <w:p>
      <w:pPr>
        <w:pStyle w:val="ImageCaption"/>
      </w:pPr>
      <w:r>
        <w:t xml:space="preserve">Figure 1: Diagram: Migracion.1c.SIU Modulos Colaboración</w:t>
      </w:r>
    </w:p>
    <w:bookmarkEnd w:id="0"/>
    <w:p>
      <w:pPr>
        <w:pStyle w:val="BodyText"/>
      </w:pPr>
      <w:r>
        <w:t xml:space="preserve">Patrón de Distribución y Colaboración estándar para el SUI.</w:t>
      </w:r>
    </w:p>
    <w:p>
      <w:pPr>
        <w:pStyle w:val="BodyText"/>
      </w:pPr>
      <w:r>
        <w:t xml:space="preserve">La colaboración y comunicación de los componentes internos del SUI (grupo PFN SUI, en el diagrama) está mediada por interfaces. Estas son provistas por el grupo de componentes misionales, PGN SUI, hacia los submódulos externos. La intención es mantener reducido y controlado el número de interfaces.</w:t>
      </w:r>
    </w:p>
    <w:p>
      <w:pPr>
        <w:pStyle w:val="BodyText"/>
      </w:pPr>
      <w:r>
        <w:t xml:space="preserve">La colaboración entre el SUI Migración con sistemas externos puede darse mediante API de comunicación (o buses de datos empresarial que ya disponga la PGN), sin perjuicio del patrón de comunicación estadar descrito en el diagrama.</w:t>
      </w:r>
    </w:p>
    <w:p>
      <w:pPr>
        <w:pStyle w:val="BodyText"/>
      </w:pPr>
      <w:r>
        <w:t xml:space="preserve">Los únicos elementos para la comunicación (e integración) son los indicados en la vista actual. En este diseño no considera tipos de comunición mediante mesajería, datos, ni</w:t>
      </w:r>
    </w:p>
    <w:bookmarkStart w:id="24" w:name="catálogo-de-elementos"/>
    <w:p>
      <w:pPr>
        <w:pStyle w:val="Heading3"/>
      </w:pPr>
      <w:r>
        <w:t xml:space="preserve">Catálogo de Elementos</w:t>
      </w:r>
    </w:p>
    <w:tbl>
      <w:tblPr>
        <w:tblStyle w:val="Table"/>
        <w:tblW w:type="pct" w:w="5000"/>
        <w:tblLook w:firstRow="1" w:lastRow="0" w:firstColumn="0" w:lastColumn="0" w:noHBand="0" w:noVBand="0" w:val="0020"/>
      </w:tblPr>
      <w:tblGrid>
        <w:gridCol w:w="1980"/>
        <w:gridCol w:w="1980"/>
        <w:gridCol w:w="1980"/>
        <w:gridCol w:w="1980"/>
      </w:tblGrid>
      <w:tr>
        <w:trPr>
          <w:tblHeader w:val="true"/>
        </w:trPr>
        <w:tc>
          <w:tcPr/>
          <w:p>
            <w:pPr>
              <w:pStyle w:val="Compact"/>
              <w:jc w:val="left"/>
            </w:pPr>
            <w:r>
              <w:t xml:space="preserve">Name</w:t>
            </w:r>
          </w:p>
        </w:tc>
        <w:tc>
          <w:tcPr/>
          <w:p>
            <w:pPr>
              <w:pStyle w:val="Compact"/>
              <w:jc w:val="left"/>
            </w:pPr>
            <w:r>
              <w:t xml:space="preserve">Type</w:t>
            </w:r>
          </w:p>
        </w:tc>
        <w:tc>
          <w:tcPr/>
          <w:p>
            <w:pPr>
              <w:pStyle w:val="Compact"/>
              <w:jc w:val="left"/>
            </w:pPr>
            <w:r>
              <w:t xml:space="preserve">Description</w:t>
            </w:r>
          </w:p>
        </w:tc>
        <w:tc>
          <w:tcPr/>
          <w:p>
            <w:pPr>
              <w:pStyle w:val="Compact"/>
              <w:jc w:val="left"/>
            </w:pPr>
            <w:r>
              <w:t xml:space="preserve">Properties</w:t>
            </w:r>
          </w:p>
        </w:tc>
      </w:tr>
      <w:tr>
        <w:tc>
          <w:tcPr/>
          <w:p>
            <w:pPr>
              <w:pStyle w:val="Compact"/>
              <w:jc w:val="left"/>
            </w:pPr>
            <w:r>
              <w:rPr>
                <w:bCs/>
                <w:b/>
              </w:rPr>
              <w:t xml:space="preserve">cc:Almacenamiento</w:t>
            </w:r>
          </w:p>
        </w:tc>
        <w:tc>
          <w:tcPr/>
          <w:p>
            <w:pPr>
              <w:pStyle w:val="Compact"/>
              <w:jc w:val="left"/>
            </w:pPr>
            <w:r>
              <w:t xml:space="preserve">application-collaboration</w:t>
            </w:r>
          </w:p>
        </w:tc>
        <w:tc>
          <w:tcPr/>
          <w:p>
            <w:pPr>
              <w:pStyle w:val="Compact"/>
              <w:jc w:val="left"/>
            </w:pPr>
            <w:r>
              <w:t xml:space="preserve">Espacio de almancenamiento operativo y transaccional de un módulo central del SUI migrado.</w:t>
            </w:r>
          </w:p>
        </w:tc>
        <w:tc>
          <w:tcPr/>
          <w:p>
            <w:pPr>
              <w:pStyle w:val="Compact"/>
            </w:pPr>
          </w:p>
        </w:tc>
      </w:tr>
      <w:tr>
        <w:tc>
          <w:tcPr/>
          <w:p>
            <w:pPr>
              <w:pStyle w:val="Compact"/>
              <w:jc w:val="left"/>
            </w:pPr>
            <w:r>
              <w:rPr>
                <w:bCs/>
                <w:b/>
              </w:rPr>
              <w:t xml:space="preserve">cc:PGN SUI (módulo central)</w:t>
            </w:r>
          </w:p>
        </w:tc>
        <w:tc>
          <w:tcPr/>
          <w:p>
            <w:pPr>
              <w:pStyle w:val="Compact"/>
              <w:jc w:val="left"/>
            </w:pPr>
            <w:r>
              <w:t xml:space="preserve">application-collaboration</w:t>
            </w:r>
          </w:p>
        </w:tc>
        <w:tc>
          <w:tcPr/>
          <w:p>
            <w:pPr>
              <w:pStyle w:val="Compact"/>
              <w:jc w:val="left"/>
            </w:pPr>
            <w:r>
              <w:t xml:space="preserve">Módulo central SUI migrado. Módulo independiente y asignado a un dominio partigular de la PGN.</w:t>
            </w:r>
          </w:p>
        </w:tc>
        <w:tc>
          <w:tcPr/>
          <w:p>
            <w:pPr>
              <w:pStyle w:val="Compact"/>
            </w:pPr>
          </w:p>
        </w:tc>
      </w:tr>
      <w:tr>
        <w:tc>
          <w:tcPr/>
          <w:p>
            <w:pPr>
              <w:pStyle w:val="Compact"/>
              <w:jc w:val="left"/>
            </w:pPr>
            <w:r>
              <w:rPr>
                <w:bCs/>
                <w:b/>
              </w:rPr>
              <w:t xml:space="preserve">cc:PGN SUI (módulo central)</w:t>
            </w:r>
          </w:p>
        </w:tc>
        <w:tc>
          <w:tcPr/>
          <w:p>
            <w:pPr>
              <w:pStyle w:val="Compact"/>
              <w:jc w:val="left"/>
            </w:pPr>
            <w:r>
              <w:t xml:space="preserve">application-collaboration</w:t>
            </w:r>
          </w:p>
        </w:tc>
        <w:tc>
          <w:tcPr/>
          <w:p>
            <w:pPr>
              <w:pStyle w:val="Compact"/>
              <w:jc w:val="left"/>
            </w:pPr>
            <w:r>
              <w:t xml:space="preserve">Módulo central SUI migrado. Módulo independiente y asignado a un dominio partigular de la PGN.</w:t>
            </w:r>
          </w:p>
        </w:tc>
        <w:tc>
          <w:tcPr/>
          <w:p>
            <w:pPr>
              <w:pStyle w:val="Compact"/>
            </w:pPr>
          </w:p>
        </w:tc>
      </w:tr>
      <w:tr>
        <w:tc>
          <w:tcPr/>
          <w:p>
            <w:pPr>
              <w:pStyle w:val="Compact"/>
              <w:jc w:val="left"/>
            </w:pPr>
            <w:r>
              <w:rPr>
                <w:bCs/>
                <w:b/>
              </w:rPr>
              <w:t xml:space="preserve">cc:PGN SUI (módulo central) 2</w:t>
            </w:r>
          </w:p>
        </w:tc>
        <w:tc>
          <w:tcPr/>
          <w:p>
            <w:pPr>
              <w:pStyle w:val="Compact"/>
              <w:jc w:val="left"/>
            </w:pPr>
            <w:r>
              <w:t xml:space="preserve">application-collaboration</w:t>
            </w:r>
          </w:p>
        </w:tc>
        <w:tc>
          <w:tcPr/>
          <w:p>
            <w:pPr>
              <w:pStyle w:val="Compact"/>
              <w:jc w:val="left"/>
            </w:pPr>
            <w:r>
              <w:t xml:space="preserve">Módulo central SUI migrado. Módulo independiente y asignado a un dominio partigular de la PGN.</w:t>
            </w:r>
          </w:p>
        </w:tc>
        <w:tc>
          <w:tcPr/>
          <w:p>
            <w:pPr>
              <w:pStyle w:val="Compact"/>
            </w:pPr>
          </w:p>
        </w:tc>
      </w:tr>
      <w:tr>
        <w:tc>
          <w:tcPr/>
          <w:p>
            <w:pPr>
              <w:pStyle w:val="Compact"/>
              <w:jc w:val="left"/>
            </w:pPr>
            <w:r>
              <w:rPr>
                <w:bCs/>
                <w:b/>
              </w:rPr>
              <w:t xml:space="preserve">cc:Portales y canales</w:t>
            </w:r>
          </w:p>
        </w:tc>
        <w:tc>
          <w:tcPr/>
          <w:p>
            <w:pPr>
              <w:pStyle w:val="Compact"/>
              <w:jc w:val="left"/>
            </w:pPr>
            <w:r>
              <w:t xml:space="preserve">application-collaboration</w:t>
            </w:r>
          </w:p>
        </w:tc>
        <w:tc>
          <w:tcPr/>
          <w:p>
            <w:pPr>
              <w:pStyle w:val="Compact"/>
              <w:jc w:val="left"/>
            </w:pPr>
            <w:r>
              <w:t xml:space="preserve">Submódulo de portales internos de la PGN a donde llega el SUI. Interfaz web que usa al SUI para llegar a direcciones y subdirecciones de la PGN. La plataforma principal de portales en este contexto es Sharepoint de Microsoft.</w:t>
            </w:r>
          </w:p>
        </w:tc>
        <w:tc>
          <w:tcPr/>
          <w:p>
            <w:pPr>
              <w:pStyle w:val="Compact"/>
            </w:pPr>
          </w:p>
        </w:tc>
      </w:tr>
      <w:tr>
        <w:tc>
          <w:tcPr/>
          <w:p>
            <w:pPr>
              <w:pStyle w:val="Compact"/>
              <w:jc w:val="left"/>
            </w:pPr>
            <w:r>
              <w:rPr>
                <w:bCs/>
                <w:b/>
              </w:rPr>
              <w:t xml:space="preserve">App</w:t>
            </w:r>
          </w:p>
        </w:tc>
        <w:tc>
          <w:tcPr/>
          <w:p>
            <w:pPr>
              <w:pStyle w:val="Compact"/>
              <w:jc w:val="left"/>
            </w:pPr>
            <w:r>
              <w:t xml:space="preserve">application-component</w:t>
            </w:r>
          </w:p>
        </w:tc>
        <w:tc>
          <w:tcPr/>
          <w:p>
            <w:pPr>
              <w:pStyle w:val="Compact"/>
            </w:pPr>
          </w:p>
        </w:tc>
        <w:tc>
          <w:tcPr/>
          <w:p>
            <w:pPr>
              <w:pStyle w:val="Compact"/>
              <w:jc w:val="left"/>
            </w:pPr>
            <w:r>
              <w:rPr>
                <w:iCs/>
                <w:i/>
              </w:rPr>
              <w:t xml:space="preserve">plataforma:</w:t>
            </w:r>
            <w:r>
              <w:t xml:space="preserve"> </w:t>
            </w:r>
            <w:r>
              <w:t xml:space="preserve">node Js</w:t>
            </w:r>
            <w:r>
              <w:rPr>
                <w:iCs/>
                <w:i/>
              </w:rPr>
              <w:t xml:space="preserve">brecha:</w:t>
            </w:r>
            <w:r>
              <w:t xml:space="preserve"> </w:t>
            </w:r>
            <w:r>
              <w:t xml:space="preserve">100</w:t>
            </w:r>
          </w:p>
        </w:tc>
      </w:tr>
      <w:tr>
        <w:tc>
          <w:tcPr/>
          <w:p>
            <w:pPr>
              <w:pStyle w:val="Compact"/>
              <w:jc w:val="left"/>
            </w:pPr>
            <w:r>
              <w:rPr>
                <w:bCs/>
                <w:b/>
              </w:rPr>
              <w:t xml:space="preserve">API SUI</w:t>
            </w:r>
          </w:p>
        </w:tc>
        <w:tc>
          <w:tcPr/>
          <w:p>
            <w:pPr>
              <w:pStyle w:val="Compact"/>
              <w:jc w:val="left"/>
            </w:pPr>
            <w:r>
              <w:t xml:space="preserve">application-interface</w:t>
            </w:r>
          </w:p>
        </w:tc>
        <w:tc>
          <w:tcPr/>
          <w:p>
            <w:pPr>
              <w:pStyle w:val="Compact"/>
              <w:jc w:val="left"/>
            </w:pPr>
            <w:r>
              <w:t xml:space="preserve">API de representación del módulo. Centrlalización de la comunicación con otros módulos del SUI migrado.</w:t>
            </w:r>
          </w:p>
        </w:tc>
        <w:tc>
          <w:tcPr/>
          <w:p>
            <w:pPr>
              <w:pStyle w:val="Compact"/>
            </w:pPr>
          </w:p>
        </w:tc>
      </w:tr>
      <w:tr>
        <w:tc>
          <w:tcPr/>
          <w:p>
            <w:pPr>
              <w:pStyle w:val="Compact"/>
              <w:jc w:val="left"/>
            </w:pPr>
            <w:r>
              <w:rPr>
                <w:bCs/>
                <w:b/>
              </w:rPr>
              <w:t xml:space="preserve">API SUI</w:t>
            </w:r>
          </w:p>
        </w:tc>
        <w:tc>
          <w:tcPr/>
          <w:p>
            <w:pPr>
              <w:pStyle w:val="Compact"/>
              <w:jc w:val="left"/>
            </w:pPr>
            <w:r>
              <w:t xml:space="preserve">application-interface</w:t>
            </w:r>
          </w:p>
        </w:tc>
        <w:tc>
          <w:tcPr/>
          <w:p>
            <w:pPr>
              <w:pStyle w:val="Compact"/>
              <w:jc w:val="left"/>
            </w:pPr>
            <w:r>
              <w:t xml:space="preserve">API de representación del módulo. Centrlalización de la comunicación con otros módulos del SUI migrado.</w:t>
            </w:r>
          </w:p>
        </w:tc>
        <w:tc>
          <w:tcPr/>
          <w:p>
            <w:pPr>
              <w:pStyle w:val="Compact"/>
            </w:pPr>
          </w:p>
        </w:tc>
      </w:tr>
      <w:tr>
        <w:tc>
          <w:tcPr/>
          <w:p>
            <w:pPr>
              <w:pStyle w:val="Compact"/>
              <w:jc w:val="left"/>
            </w:pPr>
            <w:r>
              <w:rPr>
                <w:bCs/>
                <w:b/>
              </w:rPr>
              <w:t xml:space="preserve">API SUI 2</w:t>
            </w:r>
          </w:p>
        </w:tc>
        <w:tc>
          <w:tcPr/>
          <w:p>
            <w:pPr>
              <w:pStyle w:val="Compact"/>
              <w:jc w:val="left"/>
            </w:pPr>
            <w:r>
              <w:t xml:space="preserve">application-interface</w:t>
            </w:r>
          </w:p>
        </w:tc>
        <w:tc>
          <w:tcPr/>
          <w:p>
            <w:pPr>
              <w:pStyle w:val="Compact"/>
              <w:jc w:val="left"/>
            </w:pPr>
            <w:r>
              <w:t xml:space="preserve">API de representación del módulo. Centrlalización de la comunicación con otros módulos del SUI migrado.</w:t>
            </w:r>
          </w:p>
        </w:tc>
        <w:tc>
          <w:tcPr/>
          <w:p>
            <w:pPr>
              <w:pStyle w:val="Compact"/>
            </w:pPr>
          </w:p>
        </w:tc>
      </w:tr>
    </w:tbl>
    <w:bookmarkEnd w:id="24"/>
    <w:bookmarkEnd w:id="25"/>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B68CB8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2F88F56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915639C4"/>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8088514E"/>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BD0053D2"/>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3906F5AC"/>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46E160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70389272"/>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73723D5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CE96C7DC"/>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1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1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1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577910310" w:numId="1">
    <w:abstractNumId w:val="10"/>
  </w:num>
  <w:num w16cid:durableId="787970708" w:numId="2">
    <w:abstractNumId w:val="12"/>
  </w:num>
  <w:num w16cid:durableId="1882742056" w:numId="3">
    <w:abstractNumId w:val="14"/>
  </w:num>
  <w:num w16cid:durableId="839780898" w:numId="4">
    <w:abstractNumId w:val="18"/>
  </w:num>
  <w:num w16cid:durableId="1806846820" w:numId="5">
    <w:abstractNumId w:val="19"/>
  </w:num>
  <w:num w16cid:durableId="1722897862" w:numId="6">
    <w:abstractNumId w:val="13"/>
  </w:num>
  <w:num w16cid:durableId="469134977" w:numId="7">
    <w:abstractNumId w:val="11"/>
  </w:num>
  <w:num w16cid:durableId="730615450" w:numId="8">
    <w:abstractNumId w:val="16"/>
  </w:num>
  <w:num w16cid:durableId="1287199039" w:numId="9">
    <w:abstractNumId w:val="15"/>
  </w:num>
  <w:num w16cid:durableId="1640304340" w:numId="10">
    <w:abstractNumId w:val="17"/>
  </w:num>
  <w:num w16cid:durableId="1678651704" w:numId="11">
    <w:abstractNumId w:val="0"/>
  </w:num>
  <w:num w16cid:durableId="1128278257" w:numId="12">
    <w:abstractNumId w:val="1"/>
  </w:num>
  <w:num w16cid:durableId="1255481553" w:numId="13">
    <w:abstractNumId w:val="2"/>
  </w:num>
  <w:num w16cid:durableId="838958950" w:numId="14">
    <w:abstractNumId w:val="3"/>
  </w:num>
  <w:num w16cid:durableId="1505896749" w:numId="15">
    <w:abstractNumId w:val="8"/>
  </w:num>
  <w:num w16cid:durableId="1640303450" w:numId="16">
    <w:abstractNumId w:val="4"/>
  </w:num>
  <w:num w16cid:durableId="1173649202" w:numId="17">
    <w:abstractNumId w:val="5"/>
  </w:num>
  <w:num w16cid:durableId="529493853" w:numId="18">
    <w:abstractNumId w:val="6"/>
  </w:num>
  <w:num w16cid:durableId="1744982767" w:numId="19">
    <w:abstractNumId w:val="7"/>
  </w:num>
  <w:num w16cid:durableId="1397631745" w:numId="20">
    <w:abstractNumId w:val="9"/>
  </w:num>
  <w:num w16cid:durableId="428620634" w:numId="21">
    <w:abstractNumId w:val="0"/>
  </w:num>
  <w:num w16cid:durableId="1453817347" w:numId="22">
    <w:abstractNumId w:val="1"/>
  </w:num>
  <w:num w16cid:durableId="813451523" w:numId="23">
    <w:abstractNumId w:val="2"/>
  </w:num>
  <w:num w16cid:durableId="1999917893" w:numId="24">
    <w:abstractNumId w:val="3"/>
  </w:num>
  <w:num w16cid:durableId="256443913" w:numId="25">
    <w:abstractNumId w:val="8"/>
  </w:num>
  <w:num w16cid:durableId="1610547568" w:numId="26">
    <w:abstractNumId w:val="4"/>
  </w:num>
  <w:num w16cid:durableId="1316497240" w:numId="27">
    <w:abstractNumId w:val="5"/>
  </w:num>
  <w:num w16cid:durableId="537936413" w:numId="28">
    <w:abstractNumId w:val="6"/>
  </w:num>
  <w:num w16cid:durableId="1441875983" w:numId="29">
    <w:abstractNumId w:val="7"/>
  </w:num>
  <w:num w16cid:durableId="1748959887" w:numId="30">
    <w:abstractNumId w:val="9"/>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7A75CF"/>
    <w:pPr>
      <w:jc w:val="both"/>
    </w:pPr>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2023-11-29T17:07:45Z</dcterms:created>
  <dcterms:modified xsi:type="dcterms:W3CDTF">2023-11-29T17:07:45Z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