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migracion.1c.siu-submódulos-componentes"/>
    <w:p>
      <w:pPr>
        <w:pStyle w:val="Heading2"/>
      </w:pPr>
      <w:r>
        <w:t xml:space="preserve">Migracion.1c.SIU submódulos componentes</w:t>
      </w:r>
    </w:p>
    <w:bookmarkStart w:id="0" w:name="fig:Migracion.1c.SIUsubmóduloscomponentes"/>
    <w:p>
      <w:pPr>
        <w:pStyle w:val="CaptionedFigure"/>
      </w:pPr>
      <w:bookmarkStart w:id="23" w:name="X144294fa9a143a11236e1207fd5313d29e83f14"/>
      <w:r>
        <w:drawing>
          <wp:inline>
            <wp:extent cx="5943600" cy="3487429"/>
            <wp:effectExtent b="0" l="0" r="0" t="0"/>
            <wp:docPr descr="Figure 1: Diagram: Migracion.1c.SIU submódulos componentes" title="" id="21" name="Picture"/>
            <a:graphic>
              <a:graphicData uri="http://schemas.openxmlformats.org/drawingml/2006/picture">
                <pic:pic>
                  <pic:nvPicPr>
                    <pic:cNvPr descr="images/Migracion.1c.SIUsubmóduloscomponentes.png" id="22" name="Picture"/>
                    <pic:cNvPicPr>
                      <a:picLocks noChangeArrowheads="1" noChangeAspect="1"/>
                    </pic:cNvPicPr>
                  </pic:nvPicPr>
                  <pic:blipFill>
                    <a:blip r:embed="rId20"/>
                    <a:stretch>
                      <a:fillRect/>
                    </a:stretch>
                  </pic:blipFill>
                  <pic:spPr bwMode="auto">
                    <a:xfrm>
                      <a:off x="0" y="0"/>
                      <a:ext cx="5943600" cy="3487429"/>
                    </a:xfrm>
                    <a:prstGeom prst="rect">
                      <a:avLst/>
                    </a:prstGeom>
                    <a:noFill/>
                    <a:ln w="9525">
                      <a:noFill/>
                      <a:headEnd/>
                      <a:tailEnd/>
                    </a:ln>
                  </pic:spPr>
                </pic:pic>
              </a:graphicData>
            </a:graphic>
          </wp:inline>
        </w:drawing>
      </w:r>
      <w:bookmarkEnd w:id="23"/>
    </w:p>
    <w:p>
      <w:pPr>
        <w:pStyle w:val="ImageCaption"/>
      </w:pPr>
      <w:r>
        <w:t xml:space="preserve">Figure 1: Diagram: Migracion.1c.SIU submódulos componentes</w:t>
      </w:r>
    </w:p>
    <w:bookmarkEnd w:id="0"/>
    <w:p>
      <w:pPr>
        <w:pStyle w:val="BodyText"/>
      </w:pPr>
      <w:r>
        <w:t xml:space="preserve">Presentación de los componentes internos de los submódulos del sistema único de información migración PGN. Organización intena de los servicios y paquetes que integran cada submódulo del SUI. 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La organización de componentes de migración SUI facilita focalizar la selección de tecnologeias. Los componentes internos y tecnologías elegidas son las siguientes</w:t>
      </w:r>
    </w:p>
    <w:p>
      <w:pPr>
        <w:numPr>
          <w:ilvl w:val="0"/>
          <w:numId w:val="1001"/>
        </w:numPr>
        <w:pStyle w:val="Compact"/>
      </w:pPr>
      <w:r>
        <w:t xml:space="preserve">Presentación: Angular 11 (Web)</w:t>
      </w:r>
    </w:p>
    <w:p>
      <w:pPr>
        <w:numPr>
          <w:ilvl w:val="0"/>
          <w:numId w:val="1001"/>
        </w:numPr>
        <w:pStyle w:val="Compact"/>
      </w:pPr>
      <w:r>
        <w:t xml:space="preserve">PGN SUI: API Transaccional (Node Js)</w:t>
      </w:r>
    </w:p>
    <w:p>
      <w:pPr>
        <w:numPr>
          <w:ilvl w:val="0"/>
          <w:numId w:val="1001"/>
        </w:numPr>
        <w:pStyle w:val="Compact"/>
      </w:pPr>
      <w:r>
        <w:t xml:space="preserve">Administración: API Config (C#)</w:t>
      </w:r>
    </w:p>
    <w:p>
      <w:pPr>
        <w:numPr>
          <w:ilvl w:val="0"/>
          <w:numId w:val="1001"/>
        </w:numPr>
        <w:pStyle w:val="Compact"/>
      </w:pPr>
      <w:r>
        <w:t xml:space="preserve">Persistencia: (SQL)</w:t>
      </w:r>
    </w:p>
    <w:p>
      <w:pPr>
        <w:pStyle w:val="FirstParagraph"/>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Office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Administración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Almacenamiento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jc w:val="left"/>
            </w:pPr>
            <w:r>
              <w:t xml:space="preserve">El objetivo principal de la arquitectura del SUI de la migración es la centralización de los conceptos misionales: concentrar los conceptos misionales en componentes aislados; dejar por fuera de estos componentes misionales todo lo distintos a la misionalidad de la PGN.</w:t>
            </w:r>
            <w:r>
              <w:t xml:space="preserve">Los objetivos secundarios de esta arquitectura SUI de la migración son flexibilidad y extensibilidad. Dichos objetivos son independientes. Es decir, estos pueden ser maximizados sin conclifcto entre ellos.</w:t>
            </w:r>
          </w:p>
        </w:tc>
        <w:tc>
          <w:tcPr/>
          <w:p>
            <w:pPr>
              <w:pStyle w:val="Compact"/>
            </w:pPr>
          </w:p>
        </w:tc>
      </w:tr>
      <w:tr>
        <w:tc>
          <w:tcPr/>
          <w:p>
            <w:pPr>
              <w:pStyle w:val="Compact"/>
              <w:jc w:val="left"/>
            </w:pPr>
            <w:r>
              <w:rPr>
                <w:bCs/>
                <w:b/>
              </w:rPr>
              <w:t xml:space="preserve">Portales</w:t>
            </w:r>
          </w:p>
        </w:tc>
        <w:tc>
          <w:tcPr/>
          <w:p>
            <w:pPr>
              <w:pStyle w:val="Compact"/>
              <w:jc w:val="left"/>
            </w:pPr>
            <w:r>
              <w:t xml:space="preserve">grouping</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Presentación</w:t>
            </w:r>
          </w:p>
        </w:tc>
        <w:tc>
          <w:tcPr/>
          <w:p>
            <w:pPr>
              <w:pStyle w:val="Compact"/>
              <w:jc w:val="left"/>
            </w:pPr>
            <w:r>
              <w:t xml:space="preserve">grouping</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Servicios de aplicación</w:t>
            </w:r>
          </w:p>
        </w:tc>
        <w:tc>
          <w:tcPr/>
          <w:p>
            <w:pPr>
              <w:pStyle w:val="Compact"/>
              <w:jc w:val="left"/>
            </w:pPr>
            <w:r>
              <w:t xml:space="preserve">grouping</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7EE6E78"/>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642418CE"/>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EDA74EC"/>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16644CE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AB4BAD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A54CE52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35648408"/>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11AA0A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1CB47F0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A596EE2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04751F"/>
    <w:pPr>
      <w:keepNext/>
      <w:keepLines/>
      <w:numPr>
        <w:numId w:val="38"/>
      </w:numPr>
      <w:outlineLvl w:val="0"/>
    </w:pPr>
    <w:rPr>
      <w:rFonts w:cstheme="majorBidi" w:eastAsiaTheme="majorEastAsia"/>
      <w:b/>
      <w:bCs/>
      <w:caps/>
      <w:szCs w:val="32"/>
    </w:rPr>
  </w:style>
  <w:style w:styleId="Heading2" w:type="paragraph">
    <w:name w:val="heading 2"/>
    <w:basedOn w:val="Normal"/>
    <w:next w:val="BodyText"/>
    <w:autoRedefine/>
    <w:uiPriority w:val="9"/>
    <w:rsid w:val="00E977AE"/>
    <w:pPr>
      <w:keepNext/>
      <w:keepLines/>
      <w:numPr>
        <w:ilvl w:val="1"/>
        <w:numId w:val="38"/>
      </w:numPr>
      <w:outlineLvl w:val="1"/>
    </w:pPr>
    <w:rPr>
      <w:rFonts w:cstheme="majorBidi" w:eastAsiaTheme="majorEastAsia"/>
      <w:b/>
      <w:bCs/>
      <w:szCs w:val="28"/>
    </w:rPr>
  </w:style>
  <w:style w:styleId="Heading3" w:type="paragraph">
    <w:name w:val="heading 3"/>
    <w:basedOn w:val="Normal"/>
    <w:next w:val="BodyText"/>
    <w:autoRedefine/>
    <w:uiPriority w:val="9"/>
    <w:rsid w:val="00A30828"/>
    <w:pPr>
      <w:keepNext/>
      <w:keepLines/>
      <w:outlineLvl w:val="2"/>
    </w:pPr>
    <w:rPr>
      <w:rFonts w:cstheme="majorBidi" w:eastAsiaTheme="majorEastAsia"/>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486AA6"/>
    <w:pPr>
      <w:keepNext/>
      <w:keepLines/>
      <w:jc w:val="center"/>
    </w:pPr>
    <w:rPr>
      <w:rFonts w:cstheme="majorBidi" w:eastAsiaTheme="majorEastAsia"/>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2023-09-12T05:16:54Z</dcterms:created>
  <dcterms:modified xsi:type="dcterms:W3CDTF">2023-09-12T05:16:54Z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