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migracion.1c.siu-submódulos-componentes"/>
    <w:p>
      <w:pPr>
        <w:pStyle w:val="Heading2"/>
      </w:pPr>
      <w:r>
        <w:t xml:space="preserve">Migracion.1c.SIU submódulos componentes</w:t>
      </w:r>
    </w:p>
    <w:bookmarkStart w:id="0" w:name="fig:Migracion.1c.SIUsubmóduloscomponentes"/>
    <w:p>
      <w:pPr>
        <w:pStyle w:val="FirstParagraph"/>
      </w:pPr>
      <w:bookmarkStart w:id="20" w:name="X144294fa9a143a11236e1207fd5313d29e83f14"/>
      <w:r>
        <w:t xml:space="preserve">Figure 1: Diagram: Migracion.1c.SIU submódulos componentes</w:t>
      </w:r>
      <w:bookmarkEnd w:id="20"/>
    </w:p>
    <w:bookmarkEnd w:id="0"/>
    <w:p>
      <w:pPr>
        <w:pStyle w:val="BodyText"/>
      </w:pPr>
      <w:r>
        <w:t xml:space="preserve">Presentación de los componentes internos de los submódulos del sistema único de información migración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2023-11-23T11:48:55Z</dcterms:created>
  <dcterms:modified xsi:type="dcterms:W3CDTF">2023-11-23T11:48:55Z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