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deb326a42208e9743cd9e3e04a2337f6ed1a27a"/>
    <w:p>
      <w:pPr>
        <w:pStyle w:val="Heading2"/>
      </w:pPr>
      <w:r>
        <w:t xml:space="preserve">Migracion.2.SUI módulos. datos Control interno</w:t>
      </w:r>
    </w:p>
    <w:bookmarkStart w:id="0" w:name="fig:Migracion.2.SUImódulos.datosControlinterno"/>
    <w:p>
      <w:pPr>
        <w:pStyle w:val="CaptionedFigure"/>
      </w:pPr>
      <w:bookmarkStart w:id="23" w:name="X5fcb92a60abdd1f9954af2c7c195ade2e6fd0ca"/>
      <w:r>
        <w:drawing>
          <wp:inline>
            <wp:extent cx="5943600" cy="4699868"/>
            <wp:effectExtent b="0" l="0" r="0" t="0"/>
            <wp:docPr descr="Figure 1: Diagram: Migracion.2.SUI módulos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Control interno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2023-09-13T17:46:50Z</dcterms:created>
  <dcterms:modified xsi:type="dcterms:W3CDTF">2023-09-13T17:46:50Z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