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igracion.2.sui-módulos.-datos-hominis"/>
    <w:p>
      <w:pPr>
        <w:pStyle w:val="Heading2"/>
      </w:pPr>
      <w:r>
        <w:t xml:space="preserve">Migracion.2.SUI módulos. datos Hominis</w:t>
      </w:r>
    </w:p>
    <w:bookmarkStart w:id="0" w:name="fig:Migracion.2.SUImódulos.datosHominis"/>
    <w:p>
      <w:pPr>
        <w:pStyle w:val="CaptionedFigure"/>
      </w:pPr>
      <w:bookmarkStart w:id="23" w:name="fig:Migracion.2.SUImódulos.datosHominis"/>
      <w:r>
        <w:drawing>
          <wp:inline>
            <wp:extent cx="5943600" cy="8337455"/>
            <wp:effectExtent b="0" l="0" r="0" t="0"/>
            <wp:docPr descr="Figure 1: Diagram: Migracion.2.SUI módulos. datos Hominis" title="" id="21" name="Picture"/>
            <a:graphic>
              <a:graphicData uri="http://schemas.openxmlformats.org/drawingml/2006/picture">
                <pic:pic>
                  <pic:nvPicPr>
                    <pic:cNvPr descr="images/Migracion.2.SUImódulos.datosHomini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37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Migracion.2.SUI módulos. datos Hominis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2023-09-13T18:46:08Z</dcterms:created>
  <dcterms:modified xsi:type="dcterms:W3CDTF">2023-09-13T18:46:08Z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