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migracion.2c.-datos-control-interno"/>
    <w:p>
      <w:pPr>
        <w:pStyle w:val="Heading2"/>
      </w:pPr>
      <w:r>
        <w:t xml:space="preserve">Migracion.2c. datos Control interno</w:t>
      </w:r>
    </w:p>
    <w:bookmarkStart w:id="0" w:name="fig:Migracion.2c.datosControlinterno"/>
    <w:p>
      <w:pPr>
        <w:pStyle w:val="CaptionedFigure"/>
      </w:pPr>
      <w:bookmarkStart w:id="23" w:name="fig:Migracion.2c.datosControlinterno"/>
      <w:r>
        <w:drawing>
          <wp:inline>
            <wp:extent cx="5943600" cy="4699868"/>
            <wp:effectExtent b="0" l="0" r="0" t="0"/>
            <wp:docPr descr="Figure 1: Diagram: Migracion.2c. datos Control interno" title="" id="21" name="Picture"/>
            <a:graphic>
              <a:graphicData uri="http://schemas.openxmlformats.org/drawingml/2006/picture">
                <pic:pic>
                  <pic:nvPicPr>
                    <pic:cNvPr descr="images/Migracion.2c.datosControlinterno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998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Migracion.2c. datos Control interno</w:t>
      </w:r>
    </w:p>
    <w:bookmarkEnd w:id="0"/>
    <w:p>
      <w:pPr>
        <w:pStyle w:val="BodyText"/>
      </w:pPr>
      <w:r>
        <w:t xml:space="preserve">Identificación de entidades de datos de negocio relacionadas al módulo de seguimiento del desempeño de la PGN del SUI, Control Interno.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DAT.Dependencia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DAT.Funcionario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2023-09-13T17:07:16Z</dcterms:created>
  <dcterms:modified xsi:type="dcterms:W3CDTF">2023-09-13T17:07:16Z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