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migracion.2d.-datos-siri"/>
    <w:p>
      <w:pPr>
        <w:pStyle w:val="Heading2"/>
      </w:pPr>
      <w:r>
        <w:t xml:space="preserve">Migracion.2d. datos SIRI</w:t>
      </w:r>
    </w:p>
    <w:bookmarkStart w:id="0" w:name="fig:Migracion.2d.datosSIRI"/>
    <w:p>
      <w:pPr>
        <w:pStyle w:val="CaptionedFigure"/>
      </w:pPr>
      <w:bookmarkStart w:id="23" w:name="fig:Migracion.2d.datosSIRI"/>
      <w:r>
        <w:drawing>
          <wp:inline>
            <wp:extent cx="5943600" cy="3207877"/>
            <wp:effectExtent b="0" l="0" r="0" t="0"/>
            <wp:docPr descr="Figure 1: Diagram: Migracion.2d. datos SIRI" title="" id="21" name="Picture"/>
            <a:graphic>
              <a:graphicData uri="http://schemas.openxmlformats.org/drawingml/2006/picture">
                <pic:pic>
                  <pic:nvPicPr>
                    <pic:cNvPr descr="images/Migracion.2d.datosSIRI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7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Migracion.2d. datos SIRI</w:t>
      </w:r>
    </w:p>
    <w:bookmarkEnd w:id="0"/>
    <w:p>
      <w:pPr>
        <w:pStyle w:val="BodyText"/>
      </w:pPr>
      <w:r>
        <w:t xml:space="preserve">Identificación de entidades de datos de negocio relacionadas al módulo del SUI, SIRI.</w:t>
      </w:r>
    </w:p>
    <w:p>
      <w:pPr>
        <w:pStyle w:val="BodyText"/>
      </w:pPr>
      <w:r>
        <w:t xml:space="preserve">Estas entidades de datos de negocio son los que llamamos los tipos de datos internos del SUI.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DAT.Entidad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2023-09-13T05:54:07Z</dcterms:created>
  <dcterms:modified xsi:type="dcterms:W3CDTF">2023-09-13T05:54:07Z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