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5.png" ContentType="image/png"/>
  <Override PartName="/word/media/rId40.png" ContentType="image/png"/>
  <Override PartName="/word/media/rId45.png" ContentType="image/png"/>
  <Override PartName="/word/media/rId56.png" ContentType="image/png"/>
  <Override PartName="/word/media/rId5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Documento</w:t>
      </w:r>
      <w:r>
        <w:t xml:space="preserve"> </w:t>
      </w:r>
      <w:r>
        <w:t xml:space="preserve">de</w:t>
      </w:r>
      <w:r>
        <w:t xml:space="preserve"> </w:t>
      </w:r>
      <w:r>
        <w:t xml:space="preserve">Arquitectura</w:t>
      </w:r>
      <w:r>
        <w:t xml:space="preserve"> </w:t>
      </w:r>
      <w:r>
        <w:t xml:space="preserve">Migración</w:t>
      </w:r>
      <w:r>
        <w:t xml:space="preserve"> </w:t>
      </w:r>
      <w:r>
        <w:t xml:space="preserve">Funcional</w:t>
      </w:r>
      <w:r>
        <w:t xml:space="preserve"> </w:t>
      </w:r>
      <w:r>
        <w:t xml:space="preserve">PGN</w:t>
      </w:r>
      <w:r>
        <w:t xml:space="preserve"> </w:t>
      </w:r>
      <w:r>
        <w:t xml:space="preserve">SIU</w:t>
      </w:r>
    </w:p>
    <w:p>
      <w:pPr>
        <w:pStyle w:val="FirstParagraph"/>
      </w:pPr>
      <w:r>
        <w:t xml:space="preserve">Los productos de esta etapa, Migración Funcional SIU, Contrato 078-2023,</w:t>
      </w:r>
      <w:r>
        <w:t xml:space="preserve"> </w:t>
      </w:r>
      <w:r>
        <w:t xml:space="preserve">(</w:t>
      </w:r>
      <w:hyperlink r:id="rId20">
        <w:r>
          <w:rPr>
            <w:rStyle w:val="Hyperlink"/>
          </w:rPr>
          <w:t xml:space="preserve">Web</w:t>
        </w:r>
      </w:hyperlink>
      <w:r>
        <w:t xml:space="preserve">)</w:t>
      </w:r>
      <w:r>
        <w:t xml:space="preserve"> </w:t>
      </w:r>
      <w:r>
        <w:t xml:space="preserve">están basados en el resultado de la Fase 1 del proyecto PGN SIU del 2022,</w:t>
      </w:r>
      <w:r>
        <w:t xml:space="preserve"> </w:t>
      </w:r>
      <w:hyperlink r:id="rId21">
        <w:r>
          <w:rPr>
            <w:rStyle w:val="Hyperlink"/>
          </w:rPr>
          <w:t xml:space="preserve">Sharepoint Softgic@f6c3780</w:t>
        </w:r>
      </w:hyperlink>
      <w:r>
        <w:t xml:space="preserve"> </w:t>
      </w:r>
      <w:r>
        <w:t xml:space="preserve">del August 31, 2023.</w:t>
      </w:r>
      <w:r>
        <w:t xml:space="preserve"> </w:t>
      </w:r>
    </w:p>
    <w:p>
      <w:pPr>
        <w:pStyle w:val="BodyText"/>
      </w:pPr>
      <w:r>
        <w:t xml:space="preserve">   </w:t>
      </w:r>
      <w:r>
        <w:rPr>
          <w:bCs/>
          <w:b/>
        </w:rPr>
        <w:t xml:space="preserve">Versión</w:t>
      </w:r>
      <w:r>
        <w:t xml:space="preserve"> </w:t>
      </w:r>
      <w:r>
        <w:t xml:space="preserve">del producto 1.f6c3780 de 31 Aug 2023</w:t>
      </w:r>
    </w:p>
    <w:p>
      <w:pPr>
        <w:pStyle w:val="BodyText"/>
      </w:pPr>
    </w:p>
    <w:bookmarkStart w:id="24" w:name="autores"/>
    <w:p>
      <w:pPr>
        <w:pStyle w:val="Heading2"/>
      </w:pPr>
      <w:r>
        <w:t xml:space="preserve">Autores</w:t>
      </w:r>
    </w:p>
    <w:p>
      <w:pPr>
        <w:numPr>
          <w:ilvl w:val="0"/>
          <w:numId w:val="1001"/>
        </w:numPr>
        <w:pStyle w:val="Compact"/>
      </w:pPr>
      <w:r>
        <w:rPr>
          <w:bCs/>
          <w:b/>
        </w:rPr>
        <w:t xml:space="preserve">Harry Wong, ing.</w:t>
      </w:r>
      <w:r>
        <w:t xml:space="preserve"> </w:t>
      </w:r>
      <w:r>
        <w:t xml:space="preserve"> </w:t>
      </w:r>
      <w:r>
        <w:t xml:space="preserve">·</w:t>
      </w:r>
      <w:r>
        <w:t xml:space="preserve"> </w:t>
      </w:r>
      <w:r>
        <w:t xml:space="preserve">Usuario</w:t>
      </w:r>
      <w:r>
        <w:t xml:space="preserve"> </w:t>
      </w:r>
      <w:hyperlink r:id="rId22">
        <w:r>
          <w:rPr>
            <w:rStyle w:val="Hyperlink"/>
          </w:rPr>
          <w:t xml:space="preserve">e_hwong</w:t>
        </w:r>
      </w:hyperlink>
      <w:r>
        <w:t xml:space="preserve"> </w:t>
      </w:r>
      <w:r>
        <w:t xml:space="preserve"> </w:t>
      </w:r>
      <w:r>
        <w:t xml:space="preserve"> </w:t>
      </w:r>
      <w:r>
        <w:t xml:space="preserve">Arquitecto, Softgic</w:t>
      </w:r>
      <w:r>
        <w:t xml:space="preserve"> </w:t>
      </w:r>
    </w:p>
    <w:bookmarkStart w:id="23" w:name="correspondence"/>
    <w:p>
      <w:pPr>
        <w:pStyle w:val="FirstParagraph"/>
      </w:pPr>
      <w:r>
        <w:t xml:space="preserve">✉ — Enviar mensajes a Harry Wong, ing. &lt;harry.wong@softgic.co&gt;.</w:t>
      </w:r>
    </w:p>
    <w:bookmarkEnd w:id="23"/>
    <w:p>
      <w:pPr>
        <w:pStyle w:val="BodyText"/>
      </w:pPr>
    </w:p>
    <w:bookmarkEnd w:id="24"/>
    <w:bookmarkStart w:id="25" w:name="objetivo-del-documento"/>
    <w:p>
      <w:pPr>
        <w:pStyle w:val="Heading2"/>
      </w:pPr>
      <w:r>
        <w:t xml:space="preserve">Objetivo del Documento</w:t>
      </w:r>
    </w:p>
    <w:p>
      <w:pPr>
        <w:pStyle w:val="FirstParagraph"/>
      </w:pPr>
      <w:r>
        <w:t xml:space="preserve">Descripción de los productos del trabajo de arquitectura de la Fase 2, proyecto Migración Funcional SIU de la Procuraduría General de la Nación (PGN en adelante), Contrato 078-2023.</w:t>
      </w:r>
    </w:p>
    <w:p>
      <w:pPr>
        <w:pStyle w:val="BodyText"/>
      </w:pPr>
    </w:p>
    <w:bookmarkEnd w:id="25"/>
    <w:bookmarkStart w:id="27" w:name="control-de-cambios"/>
    <w:p>
      <w:pPr>
        <w:pStyle w:val="Heading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078-2023 Fase 2, PGN Migración Funcional SIU</w:t>
            </w:r>
          </w:p>
        </w:tc>
      </w:tr>
      <w:tr>
        <w:tc>
          <w:tcPr/>
          <w:p>
            <w:pPr>
              <w:pStyle w:val="Compact"/>
              <w:jc w:val="left"/>
            </w:pPr>
            <w:r>
              <w:t xml:space="preserve">Palabras clave</w:t>
            </w:r>
          </w:p>
        </w:tc>
        <w:tc>
          <w:tcPr/>
          <w:p>
            <w:pPr>
              <w:pStyle w:val="Compact"/>
              <w:jc w:val="left"/>
            </w:pPr>
            <w:r>
              <w:t xml:space="preserve">SIU, Softgic, PGN,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1.f6c3780 del 31 Aug 2023</w:t>
            </w:r>
          </w:p>
        </w:tc>
      </w:tr>
      <w:tr>
        <w:tc>
          <w:tcPr/>
          <w:p>
            <w:pPr>
              <w:pStyle w:val="Compact"/>
              <w:jc w:val="left"/>
            </w:pPr>
            <w:r>
              <w:t xml:space="preserve">Vínculos</w:t>
            </w:r>
          </w:p>
        </w:tc>
        <w:tc>
          <w:tcPr/>
          <w:p>
            <w:pPr>
              <w:pStyle w:val="Compact"/>
              <w:jc w:val="left"/>
            </w:pPr>
            <w:hyperlink r:id="rId26">
              <w:r>
                <w:rPr>
                  <w:rStyle w:val="Hyperlink"/>
                </w:rPr>
                <w:t xml:space="preserve">N003a Vista Segmento PGN SIU</w:t>
              </w:r>
            </w:hyperlink>
          </w:p>
        </w:tc>
      </w:tr>
    </w:tbl>
    <w:p>
      <w:pPr>
        <w:pStyle w:val="BodyText"/>
      </w:pPr>
    </w:p>
    <w:p>
      <w:pPr>
        <w:pStyle w:val="BodyText"/>
      </w:pPr>
    </w:p>
    <w:p>
      <w:r>
        <w:br w:type="page"/>
      </w:r>
    </w:p>
    <w:bookmarkEnd w:id="27"/>
    <w:bookmarkStart w:id="28" w:name="contenidos"/>
    <w:p>
      <w:pPr>
        <w:pStyle w:val="Heading2"/>
      </w:pPr>
      <w:r>
        <w:t xml:space="preserve">Contenidos</w:t>
      </w:r>
    </w:p>
    <w:p>
      <w:pPr>
        <w:pStyle w:val="TOCHeading"/>
      </w:pPr>
      <w:r>
        <w:t xml:space="preserve">Table of Contents</w:t>
      </w:r>
    </w:p>
    <w:sdt>
      <w:sdtContent xmlns:w="http://schemas.openxmlformats.org/wordprocessingml/2006/main">
        <w:p>
          <w:r>
            <w:fldChar w:fldCharType="begin" w:dirty="true"/>
            <w:instrText xml:space="preserve">TOC \o "1-3" \h \z \u</w:instrText>
            <w:fldChar w:fldCharType="separate"/>
            <w:fldChar w:fldCharType="end"/>
          </w:r>
        </w:p>
      </w:sdtContent>
    </w:sdt>
    <w:bookmarkEnd w:id="28"/>
    <w:bookmarkStart w:id="29" w:name="documento-de-arquitectura-migración-siu"/>
    <w:p>
      <w:pPr>
        <w:pStyle w:val="Heading1"/>
      </w:pPr>
      <w:r>
        <w:t xml:space="preserve">Documento de Arquitectura Migración SIU</w:t>
      </w:r>
    </w:p>
    <w:p>
      <w:r>
        <w:pict>
          <v:rect style="width:0;height:1.5pt" o:hralign="center" o:hrstd="t" o:hr="t"/>
        </w:pict>
      </w:r>
    </w:p>
    <w:p>
      <w:pPr>
        <w:numPr>
          <w:ilvl w:val="0"/>
          <w:numId w:val="1002"/>
        </w:numPr>
        <w:pStyle w:val="Compact"/>
      </w:pPr>
      <w:hyperlink w:anchor="línea-base-pgn-siu">
        <w:r>
          <w:rPr>
            <w:rStyle w:val="Hyperlink"/>
          </w:rPr>
          <w:t xml:space="preserve">Línea Base PGN SIU</w:t>
        </w:r>
      </w:hyperlink>
    </w:p>
    <w:p>
      <w:pPr>
        <w:numPr>
          <w:ilvl w:val="1"/>
          <w:numId w:val="1003"/>
        </w:numPr>
        <w:pStyle w:val="Compact"/>
      </w:pPr>
      <w:hyperlink w:anchor="lineabase.0.siu-applicación">
        <w:r>
          <w:rPr>
            <w:rStyle w:val="Hyperlink"/>
          </w:rPr>
          <w:t xml:space="preserve">Lineabase.0.SIU applicación</w:t>
        </w:r>
      </w:hyperlink>
    </w:p>
    <w:p>
      <w:pPr>
        <w:numPr>
          <w:ilvl w:val="1"/>
          <w:numId w:val="1003"/>
        </w:numPr>
        <w:pStyle w:val="Compact"/>
      </w:pPr>
      <w:hyperlink w:anchor="lineabase.1.siu-componente">
        <w:r>
          <w:rPr>
            <w:rStyle w:val="Hyperlink"/>
          </w:rPr>
          <w:t xml:space="preserve">Lineabase.1.SIU componente</w:t>
        </w:r>
      </w:hyperlink>
    </w:p>
    <w:p>
      <w:pPr>
        <w:numPr>
          <w:ilvl w:val="1"/>
          <w:numId w:val="1003"/>
        </w:numPr>
        <w:pStyle w:val="Compact"/>
      </w:pPr>
      <w:hyperlink w:anchor="lineabase.1a.siu-componente">
        <w:r>
          <w:rPr>
            <w:rStyle w:val="Hyperlink"/>
          </w:rPr>
          <w:t xml:space="preserve">Lineabase.1a.SIU componente</w:t>
        </w:r>
      </w:hyperlink>
    </w:p>
    <w:p>
      <w:pPr>
        <w:numPr>
          <w:ilvl w:val="1"/>
          <w:numId w:val="1003"/>
        </w:numPr>
        <w:pStyle w:val="Compact"/>
      </w:pPr>
      <w:hyperlink w:anchor="linebase.2.portal">
        <w:r>
          <w:rPr>
            <w:rStyle w:val="Hyperlink"/>
          </w:rPr>
          <w:t xml:space="preserve">Linebase.2.Portal</w:t>
        </w:r>
      </w:hyperlink>
    </w:p>
    <w:p>
      <w:pPr>
        <w:numPr>
          <w:ilvl w:val="1"/>
          <w:numId w:val="1003"/>
        </w:numPr>
        <w:pStyle w:val="Compact"/>
      </w:pPr>
      <w:hyperlink w:anchor="riesgos.1">
        <w:r>
          <w:rPr>
            <w:rStyle w:val="Hyperlink"/>
          </w:rPr>
          <w:t xml:space="preserve">Riesgos.1</w:t>
        </w:r>
      </w:hyperlink>
    </w:p>
    <w:p>
      <w:pPr>
        <w:numPr>
          <w:ilvl w:val="0"/>
          <w:numId w:val="1002"/>
        </w:numPr>
        <w:pStyle w:val="Compact"/>
      </w:pPr>
      <w:hyperlink w:anchor="arquitectura-migración-pgn-siu">
        <w:r>
          <w:rPr>
            <w:rStyle w:val="Hyperlink"/>
          </w:rPr>
          <w:t xml:space="preserve">Arquitectura Migración PGN SIU</w:t>
        </w:r>
      </w:hyperlink>
    </w:p>
    <w:p>
      <w:pPr>
        <w:numPr>
          <w:ilvl w:val="1"/>
          <w:numId w:val="1004"/>
        </w:numPr>
        <w:pStyle w:val="Compact"/>
      </w:pPr>
      <w:hyperlink w:anchor="migracion.1.siu-modulos">
        <w:r>
          <w:rPr>
            <w:rStyle w:val="Hyperlink"/>
          </w:rPr>
          <w:t xml:space="preserve">Migracion.1.SIU modulos</w:t>
        </w:r>
      </w:hyperlink>
    </w:p>
    <w:p>
      <w:r>
        <w:br w:type="page"/>
      </w:r>
    </w:p>
    <w:p>
      <w:r>
        <w:pict>
          <v:rect style="width:0;height:1.5pt" o:hralign="center" o:hrstd="t" o:hr="t"/>
        </w:pict>
      </w:r>
    </w:p>
    <w:bookmarkEnd w:id="29"/>
    <w:bookmarkStart w:id="33" w:name="línea-base-pgn-siu"/>
    <w:p>
      <w:pPr>
        <w:pStyle w:val="Heading1"/>
      </w:pPr>
      <w:r>
        <w:t xml:space="preserve">Línea Base PGN SIU</w:t>
      </w:r>
    </w:p>
    <w:p>
      <w:pPr>
        <w:pStyle w:val="FirstParagraph"/>
      </w:pPr>
      <w:hyperlink w:anchor="línea-base-pgn-siu"/>
      <w:r>
        <w:t xml:space="preserve"> </w:t>
      </w:r>
      <w:r>
        <w:t xml:space="preserve">## Lineabase.0.SIU applicación</w:t>
      </w:r>
      <w:r>
        <w:t xml:space="preserve"> </w:t>
      </w:r>
      <w:hyperlink w:anchor="lineabase.0.siu-applicación"/>
      <w:r>
        <w:t xml:space="preserve"> </w:t>
      </w:r>
      <w:r>
        <w:drawing>
          <wp:inline>
            <wp:extent cx="5943600" cy="3158676"/>
            <wp:effectExtent b="0" l="0" r="0" t="0"/>
            <wp:docPr descr="Diagram: Lineabase.0.SIU applicación" title="" id="31" name="Picture"/>
            <a:graphic>
              <a:graphicData uri="http://schemas.openxmlformats.org/drawingml/2006/picture">
                <pic:pic>
                  <pic:nvPicPr>
                    <pic:cNvPr descr="images/Lineabase.0.SIU%20applicación.png" id="32" name="Picture"/>
                    <pic:cNvPicPr>
                      <a:picLocks noChangeArrowheads="1" noChangeAspect="1"/>
                    </pic:cNvPicPr>
                  </pic:nvPicPr>
                  <pic:blipFill>
                    <a:blip r:embed="rId30"/>
                    <a:stretch>
                      <a:fillRect/>
                    </a:stretch>
                  </pic:blipFill>
                  <pic:spPr bwMode="auto">
                    <a:xfrm>
                      <a:off x="0" y="0"/>
                      <a:ext cx="5943600" cy="3158676"/>
                    </a:xfrm>
                    <a:prstGeom prst="rect">
                      <a:avLst/>
                    </a:prstGeom>
                    <a:noFill/>
                    <a:ln w="9525">
                      <a:noFill/>
                      <a:headEnd/>
                      <a:tailEnd/>
                    </a:ln>
                  </pic:spPr>
                </pic:pic>
              </a:graphicData>
            </a:graphic>
          </wp:inline>
        </w:drawing>
      </w:r>
    </w:p>
    <w:bookmarkEnd w:id="33"/>
    <w:bookmarkStart w:id="55" w:name="representación-arquitectónica"/>
    <w:p>
      <w:pPr>
        <w:pStyle w:val="Heading1"/>
      </w:pPr>
      <w:r>
        <w:t xml:space="preserve">Representación Arquitectónica</w:t>
      </w:r>
    </w:p>
    <w:p>
      <w:pPr>
        <w:pStyle w:val="FirstParagraph"/>
      </w:pPr>
      <w:r>
        <w:t xml:space="preserve">Con una arquitectura orientada a servicios SUI recopila:</w:t>
      </w:r>
    </w:p>
    <w:p>
      <w:pPr>
        <w:numPr>
          <w:ilvl w:val="0"/>
          <w:numId w:val="1005"/>
        </w:numPr>
        <w:pStyle w:val="Compact"/>
      </w:pPr>
      <w:r>
        <w:t xml:space="preserve">Runtime: Es el servicio que interactúa con el usuario final (GUI) elaborado en Angular 11</w:t>
      </w:r>
    </w:p>
    <w:p>
      <w:pPr>
        <w:numPr>
          <w:ilvl w:val="0"/>
          <w:numId w:val="1005"/>
        </w:numPr>
        <w:pStyle w:val="Compact"/>
      </w:pPr>
      <w:r>
        <w:t xml:space="preserve">API Tx: Servicio api rest base node encargado de realizar las transacciones básicas CRUD</w:t>
      </w:r>
    </w:p>
    <w:p>
      <w:pPr>
        <w:numPr>
          <w:ilvl w:val="0"/>
          <w:numId w:val="1005"/>
        </w:numPr>
        <w:pStyle w:val="Compact"/>
      </w:pPr>
      <w:r>
        <w:t xml:space="preserve">API Config / Seguridad. Servicio Web API .Net Framework encargado de gestionar características con la autenticación y configuración</w:t>
      </w:r>
    </w:p>
    <w:bookmarkStart w:id="3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Communication Network (DMZ)</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(LAN)</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(internet)</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Balanceador</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Lappiz</w:t>
            </w:r>
            <w:r>
              <w:rPr>
                <w:bCs/>
                <w:b/>
              </w:rPr>
              <w:t xml:space="preserve"> </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www pgn com</w:t>
            </w:r>
          </w:p>
        </w:tc>
        <w:tc>
          <w:tcPr/>
          <w:p>
            <w:pPr>
              <w:pStyle w:val="Compact"/>
              <w:jc w:val="left"/>
            </w:pPr>
            <w:r>
              <w:t xml:space="preserve">technology-interface</w:t>
            </w:r>
          </w:p>
        </w:tc>
        <w:tc>
          <w:tcPr/>
          <w:p>
            <w:pPr>
              <w:pStyle w:val="Compact"/>
            </w:pPr>
          </w:p>
        </w:tc>
        <w:tc>
          <w:tcPr/>
          <w:p>
            <w:pPr>
              <w:pStyle w:val="Compact"/>
            </w:pPr>
          </w:p>
        </w:tc>
      </w:tr>
    </w:tbl>
    <w:bookmarkEnd w:id="34"/>
    <w:bookmarkStart w:id="39" w:name="lineabase.1.siu-componente"/>
    <w:p>
      <w:pPr>
        <w:pStyle w:val="Heading2"/>
      </w:pPr>
      <w:r>
        <w:t xml:space="preserve">Lineabase.1.SIU componente</w:t>
      </w:r>
    </w:p>
    <w:p>
      <w:pPr>
        <w:pStyle w:val="FirstParagraph"/>
      </w:pPr>
      <w:hyperlink w:anchor="lineabase.1.siu-componente"/>
      <w:r>
        <w:t xml:space="preserve"> </w:t>
      </w:r>
      <w:r>
        <w:drawing>
          <wp:inline>
            <wp:extent cx="5943600" cy="7357496"/>
            <wp:effectExtent b="0" l="0" r="0" t="0"/>
            <wp:docPr descr="Diagram: Lineabase.1.SIU componente" title="" id="36" name="Picture"/>
            <a:graphic>
              <a:graphicData uri="http://schemas.openxmlformats.org/drawingml/2006/picture">
                <pic:pic>
                  <pic:nvPicPr>
                    <pic:cNvPr descr="images/Lineabase.1.SIU%20componente.png" id="37" name="Picture"/>
                    <pic:cNvPicPr>
                      <a:picLocks noChangeArrowheads="1" noChangeAspect="1"/>
                    </pic:cNvPicPr>
                  </pic:nvPicPr>
                  <pic:blipFill>
                    <a:blip r:embed="rId35"/>
                    <a:stretch>
                      <a:fillRect/>
                    </a:stretch>
                  </pic:blipFill>
                  <pic:spPr bwMode="auto">
                    <a:xfrm>
                      <a:off x="0" y="0"/>
                      <a:ext cx="5943600" cy="7357496"/>
                    </a:xfrm>
                    <a:prstGeom prst="rect">
                      <a:avLst/>
                    </a:prstGeom>
                    <a:noFill/>
                    <a:ln w="9525">
                      <a:noFill/>
                      <a:headEnd/>
                      <a:tailEnd/>
                    </a:ln>
                  </pic:spPr>
                </pic:pic>
              </a:graphicData>
            </a:graphic>
          </wp:inline>
        </w:drawing>
      </w:r>
    </w:p>
    <w:p>
      <w:pPr>
        <w:pStyle w:val="BodyText"/>
      </w:pPr>
      <w:r>
        <w:t xml:space="preserve">Distribución de los servicios y paquetes que integran la aplicación de SUI.</w:t>
      </w:r>
    </w:p>
    <w:p>
      <w:pPr>
        <w:pStyle w:val="BodyText"/>
      </w:pPr>
      <w:r>
        <w:t xml:space="preserve">Cuatro paquetes con tecnologías respectivas</w:t>
      </w:r>
      <w:r>
        <w:t xml:space="preserve"> </w:t>
      </w:r>
      <w:r>
        <w:t xml:space="preserve">1. Angular 11 (Web)</w:t>
      </w:r>
      <w:r>
        <w:t xml:space="preserve"> </w:t>
      </w:r>
      <w:r>
        <w:t xml:space="preserve">1. API Transaccional (Node Js)</w:t>
      </w:r>
      <w:r>
        <w:t xml:space="preserve"> </w:t>
      </w:r>
      <w:r>
        <w:t xml:space="preserve">1. API Config (C#)</w:t>
      </w:r>
      <w:r>
        <w:t xml:space="preserve"> </w:t>
      </w:r>
      <w:r>
        <w:t xml:space="preserve">1. Persistencia (SQL)</w:t>
      </w:r>
    </w:p>
    <w:p>
      <w:pPr>
        <w:pStyle w:val="BodyText"/>
      </w:pPr>
      <w:r>
        <w:t xml:space="preserve">Asuntos de la Migración:</w:t>
      </w:r>
      <w:r>
        <w:t xml:space="preserve"> </w:t>
      </w:r>
      <w:r>
        <w:t xml:space="preserve">* Estrategia CMS central</w:t>
      </w:r>
      <w:r>
        <w:t xml:space="preserve"> </w:t>
      </w:r>
      <w:r>
        <w:t xml:space="preserve">* Motor de búsqueda</w:t>
      </w:r>
      <w:r>
        <w:t xml:space="preserve"> </w:t>
      </w:r>
      <w:r>
        <w:t xml:space="preserve">* Estatego como BI</w:t>
      </w:r>
      <w:r>
        <w:t xml:space="preserve"> </w:t>
      </w:r>
      <w:r>
        <w:t xml:space="preserve">* Conciliación y Doku</w:t>
      </w:r>
      <w:r>
        <w:t xml:space="preserve"> </w:t>
      </w:r>
      <w:r>
        <w:t xml:space="preserve">* Gestión de sesiones / caducidad</w:t>
      </w:r>
    </w:p>
    <w:bookmarkStart w:id="38" w:name="catálogo-de-elementos-1"/>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Persistencia</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r>
              <w:t xml:space="preserve"> </w:t>
            </w: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r>
              <w:t xml:space="preserve"> </w:t>
            </w: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r>
              <w:t xml:space="preserve"> </w:t>
            </w: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r>
              <w:t xml:space="preserve"> </w:t>
            </w: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r>
              <w:t xml:space="preserve"> </w:t>
            </w:r>
            <w:r>
              <w:t xml:space="preserve">1. La solución debe proveer una consulta que permita a un usuario con los privilegios asignados, consultar los registros de auditoría, aplicando criterios de filtro (usuario, maquina, rango de fechas y tipo de operación).</w:t>
            </w:r>
            <w:r>
              <w:t xml:space="preserve"> </w:t>
            </w: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r>
              <w:t xml:space="preserve"> </w:t>
            </w:r>
            <w:r>
              <w:t xml:space="preserve">1. Las soluciones deben cumplir con los lineamientos de seguridad relacionados a su utilización a través de redes públicas y privadas, garantizando la confidencialidad e integridad de la información y acceso a ella.</w:t>
            </w:r>
            <w:r>
              <w:t xml:space="preserve"> </w:t>
            </w: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r>
              <w:t xml:space="preserve"> </w:t>
            </w:r>
            <w:r>
              <w:t xml:space="preserve">1. Debe incluir un mecanismo de cifrado de los datos que se transportan entre los diferentes componentes tecnológicos y los datos sensibles de la base de datos que representen un alto nivel de confidencialidad.</w:t>
            </w:r>
            <w:r>
              <w:t xml:space="preserve"> </w:t>
            </w:r>
            <w:r>
              <w:t xml:space="preserve">1. A nivel de la base de datos debe poder definirse reglas de validación de integridad de datos (unicidad, referencial y negocio).</w:t>
            </w:r>
            <w:r>
              <w:t xml:space="preserve"> </w:t>
            </w:r>
            <w:r>
              <w:t xml:space="preserve">1. Debe contemplar el cumplimiento de la normatividad vigente en cuanto a protección de datos personales y debe permitir el manejo de excepciones.</w:t>
            </w:r>
            <w:r>
              <w:t xml:space="preserve"> </w:t>
            </w:r>
            <w:r>
              <w:t xml:space="preserve">1. Para los casos que aplique se debe permitir el manejo de certificados y/o firmas digitales en los documentos que así se definan para efectos de aprobación y digitalización.</w:t>
            </w:r>
            <w:r>
              <w:t xml:space="preserve"> </w:t>
            </w:r>
            <w:r>
              <w:t xml:space="preserve">1. Debe contemplar las prácticas de desarrollo seguro de aplicaciones y/o implementación segura de productos, para su naturaleza Web based.</w:t>
            </w:r>
            <w:r>
              <w:t xml:space="preserve"> </w:t>
            </w:r>
            <w:r>
              <w:t xml:space="preserve">1. Debe funcionar sobre protocolo SSL (certificados internos de la entidad cuando los sistemas de información sean internas y certificados validos públicamente cuando los sistemas de información estén expuestas a internet).</w:t>
            </w:r>
            <w:r>
              <w:t xml:space="preserve"> </w:t>
            </w:r>
            <w:r>
              <w:t xml:space="preserve">1. Debe entregar un procedimiento para el respaldo de la información de acuerdo con las necesidades de la entidad.</w:t>
            </w:r>
            <w:r>
              <w:t xml:space="preserve"> </w:t>
            </w:r>
            <w:r>
              <w:t xml:space="preserve">1. Debe incluir uso de criptografía para transacciones y/o campos sensibles según lo indiquen las normas vigentes y las necesidades específicas del negocio de acuerdo como lo determine la entidad.</w:t>
            </w:r>
            <w:r>
              <w:t xml:space="preserve"> </w:t>
            </w:r>
            <w:r>
              <w:t xml:space="preserve">1. Debe contemplar un modelo de datos que garantice base de datos única para evitar que se pueda presentar duplicidad de información.</w:t>
            </w:r>
            <w:r>
              <w:t xml:space="preserve"> </w:t>
            </w:r>
            <w:r>
              <w:t xml:space="preserve">1. En la información confidencial solo puede ser consultada por los perfiles autorizados e igualmente restringir documentos de consulta según los privilegios o permisos asociados.</w:t>
            </w:r>
            <w:r>
              <w:t xml:space="preserve"> </w:t>
            </w:r>
            <w:r>
              <w:t xml:space="preserve">1. A nivel de la base de datos debe poder definirse reglas de validación de integridad de datos (unicidad, referencial y negocio).</w:t>
            </w:r>
            <w:r>
              <w:t xml:space="preserve"> </w:t>
            </w:r>
            <w:r>
              <w:t xml:space="preserve">1. Debe cerrar las transacciones luego de máximo 10 minutos de inactividad.</w:t>
            </w:r>
            <w:r>
              <w:t xml:space="preserve"> </w:t>
            </w:r>
            <w:r>
              <w:t xml:space="preserve">1. Debe incluir controles de bloqueo de cuenta después de un máximo de 5 intentos erróneos a fin de evitar ataques de fuerza bruta.</w:t>
            </w:r>
            <w:r>
              <w:t xml:space="preserve"> </w:t>
            </w:r>
            <w:r>
              <w:t xml:space="preserve">1. Debe evidenciar el resultado positivo frente apruebas de ethical hacking, análisis de vulnerabilidades, carga, estrés y desempeño antes de la puesta en operación de acuerdo con los lineamientos de la entidad.</w:t>
            </w:r>
            <w:r>
              <w:t xml:space="preserve"> </w:t>
            </w: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r>
              <w:t xml:space="preserve"> </w:t>
            </w:r>
          </w:p>
        </w:tc>
        <w:tc>
          <w:tcPr/>
          <w:p>
            <w:pPr>
              <w:pStyle w:val="Compact"/>
            </w:pPr>
          </w:p>
        </w:tc>
      </w:tr>
    </w:tbl>
    <w:bookmarkEnd w:id="38"/>
    <w:bookmarkEnd w:id="39"/>
    <w:bookmarkStart w:id="44" w:name="lineabase.1a.siu-componente"/>
    <w:p>
      <w:pPr>
        <w:pStyle w:val="Heading2"/>
      </w:pPr>
      <w:r>
        <w:t xml:space="preserve">Lineabase.1a.SIU componente</w:t>
      </w:r>
    </w:p>
    <w:p>
      <w:pPr>
        <w:pStyle w:val="FirstParagraph"/>
      </w:pPr>
      <w:hyperlink w:anchor="lineabase.1a.siu-componente"/>
      <w:r>
        <w:t xml:space="preserve"> </w:t>
      </w:r>
      <w:r>
        <w:drawing>
          <wp:inline>
            <wp:extent cx="5943600" cy="4793225"/>
            <wp:effectExtent b="0" l="0" r="0" t="0"/>
            <wp:docPr descr="Diagram: Lineabase.1a.SIU componente" title="" id="41" name="Picture"/>
            <a:graphic>
              <a:graphicData uri="http://schemas.openxmlformats.org/drawingml/2006/picture">
                <pic:pic>
                  <pic:nvPicPr>
                    <pic:cNvPr descr="images/Lineabase.1a.SIU%20componente.png" id="42" name="Picture"/>
                    <pic:cNvPicPr>
                      <a:picLocks noChangeArrowheads="1" noChangeAspect="1"/>
                    </pic:cNvPicPr>
                  </pic:nvPicPr>
                  <pic:blipFill>
                    <a:blip r:embed="rId40"/>
                    <a:stretch>
                      <a:fillRect/>
                    </a:stretch>
                  </pic:blipFill>
                  <pic:spPr bwMode="auto">
                    <a:xfrm>
                      <a:off x="0" y="0"/>
                      <a:ext cx="5943600" cy="4793225"/>
                    </a:xfrm>
                    <a:prstGeom prst="rect">
                      <a:avLst/>
                    </a:prstGeom>
                    <a:noFill/>
                    <a:ln w="9525">
                      <a:noFill/>
                      <a:headEnd/>
                      <a:tailEnd/>
                    </a:ln>
                  </pic:spPr>
                </pic:pic>
              </a:graphicData>
            </a:graphic>
          </wp:inline>
        </w:drawing>
      </w:r>
    </w:p>
    <w:p>
      <w:pPr>
        <w:pStyle w:val="BodyText"/>
      </w:pPr>
      <w:r>
        <w:t xml:space="preserve">Dependencias entre los servicios que integran la aplicación de SUI.</w:t>
      </w:r>
    </w:p>
    <w:p>
      <w:pPr>
        <w:pStyle w:val="BodyText"/>
      </w:pPr>
      <w:r>
        <w:t xml:space="preserve">4 paquetes con tecnologías respectivas Angular 11 (Web), Api Transaccional (Node Js) y Api Config (C#) y el alojamiento de datos.</w:t>
      </w:r>
    </w:p>
    <w:bookmarkStart w:id="43" w:name="catálogo-de-elementos-2"/>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Persistencia</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Grouping</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Lappiz</w:t>
            </w:r>
            <w:r>
              <w:rPr>
                <w:bCs/>
                <w:b/>
              </w:rPr>
              <w:t xml:space="preserve"> </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pPr>
          </w:p>
        </w:tc>
        <w:tc>
          <w:tcPr/>
          <w:p>
            <w:pPr>
              <w:pStyle w:val="Compact"/>
            </w:pPr>
          </w:p>
        </w:tc>
      </w:tr>
    </w:tbl>
    <w:bookmarkEnd w:id="43"/>
    <w:bookmarkEnd w:id="44"/>
    <w:bookmarkStart w:id="49" w:name="linebase.2.portal"/>
    <w:p>
      <w:pPr>
        <w:pStyle w:val="Heading2"/>
      </w:pPr>
      <w:r>
        <w:t xml:space="preserve">Linebase.2.Portal</w:t>
      </w:r>
    </w:p>
    <w:p>
      <w:pPr>
        <w:pStyle w:val="FirstParagraph"/>
      </w:pPr>
      <w:hyperlink w:anchor="linebase.2.portal"/>
      <w:r>
        <w:t xml:space="preserve"> </w:t>
      </w:r>
      <w:r>
        <w:drawing>
          <wp:inline>
            <wp:extent cx="5943600" cy="1170457"/>
            <wp:effectExtent b="0" l="0" r="0" t="0"/>
            <wp:docPr descr="Diagram: Linebase.2.Portal" title="" id="46" name="Picture"/>
            <a:graphic>
              <a:graphicData uri="http://schemas.openxmlformats.org/drawingml/2006/picture">
                <pic:pic>
                  <pic:nvPicPr>
                    <pic:cNvPr descr="images/Linebase.2.Portal.png" id="47" name="Picture"/>
                    <pic:cNvPicPr>
                      <a:picLocks noChangeArrowheads="1" noChangeAspect="1"/>
                    </pic:cNvPicPr>
                  </pic:nvPicPr>
                  <pic:blipFill>
                    <a:blip r:embed="rId45"/>
                    <a:stretch>
                      <a:fillRect/>
                    </a:stretch>
                  </pic:blipFill>
                  <pic:spPr bwMode="auto">
                    <a:xfrm>
                      <a:off x="0" y="0"/>
                      <a:ext cx="5943600" cy="1170457"/>
                    </a:xfrm>
                    <a:prstGeom prst="rect">
                      <a:avLst/>
                    </a:prstGeom>
                    <a:noFill/>
                    <a:ln w="9525">
                      <a:noFill/>
                      <a:headEnd/>
                      <a:tailEnd/>
                    </a:ln>
                  </pic:spPr>
                </pic:pic>
              </a:graphicData>
            </a:graphic>
          </wp:inline>
        </w:drawing>
      </w:r>
    </w:p>
    <w:p>
      <w:pPr>
        <w:pStyle w:val="BodyText"/>
      </w:pPr>
      <w:r>
        <w:t xml:space="preserve">El portal es el conjunto de los elementos físicos y lógicos necesarios para la implementación de la granja de servidores de SharePoint Server 2019 para el portal de la PROCURADURIA.</w:t>
      </w:r>
    </w:p>
    <w:p>
      <w:pPr>
        <w:numPr>
          <w:ilvl w:val="0"/>
          <w:numId w:val="1006"/>
        </w:numPr>
        <w:pStyle w:val="Compact"/>
      </w:pPr>
      <w:r>
        <w:t xml:space="preserve">Servidores Web Front End</w:t>
      </w:r>
    </w:p>
    <w:p>
      <w:pPr>
        <w:numPr>
          <w:ilvl w:val="0"/>
          <w:numId w:val="1006"/>
        </w:numPr>
        <w:pStyle w:val="Compact"/>
      </w:pPr>
      <w:r>
        <w:t xml:space="preserve">Servidores de Aplicaciones</w:t>
      </w:r>
    </w:p>
    <w:p>
      <w:pPr>
        <w:numPr>
          <w:ilvl w:val="0"/>
          <w:numId w:val="1006"/>
        </w:numPr>
        <w:pStyle w:val="Compact"/>
      </w:pPr>
      <w:r>
        <w:t xml:space="preserve">Servidores de SQL Server</w:t>
      </w:r>
    </w:p>
    <w:bookmarkStart w:id="48" w:name="catálogo-de-elementos-3"/>
    <w:p>
      <w:pPr>
        <w:pStyle w:val="Heading3"/>
      </w:pPr>
      <w:r>
        <w:t xml:space="preserve">Catálogo de Elementos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 Sharepoint</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bl>
    <w:bookmarkEnd w:id="48"/>
    <w:bookmarkEnd w:id="49"/>
    <w:bookmarkStart w:id="54" w:name="riesgos.1"/>
    <w:p>
      <w:pPr>
        <w:pStyle w:val="Heading2"/>
      </w:pPr>
      <w:r>
        <w:t xml:space="preserve">Riesgos.1</w:t>
      </w:r>
    </w:p>
    <w:p>
      <w:pPr>
        <w:pStyle w:val="FirstParagraph"/>
      </w:pPr>
      <w:hyperlink w:anchor="riesgos.1"/>
      <w:r>
        <w:t xml:space="preserve"> </w:t>
      </w:r>
      <w:r>
        <w:drawing>
          <wp:inline>
            <wp:extent cx="5943600" cy="3008189"/>
            <wp:effectExtent b="0" l="0" r="0" t="0"/>
            <wp:docPr descr="Diagram: Riesgos.1" title="" id="51" name="Picture"/>
            <a:graphic>
              <a:graphicData uri="http://schemas.openxmlformats.org/drawingml/2006/picture">
                <pic:pic>
                  <pic:nvPicPr>
                    <pic:cNvPr descr="images/Riesgos.1.png" id="52" name="Picture"/>
                    <pic:cNvPicPr>
                      <a:picLocks noChangeArrowheads="1" noChangeAspect="1"/>
                    </pic:cNvPicPr>
                  </pic:nvPicPr>
                  <pic:blipFill>
                    <a:blip r:embed="rId50"/>
                    <a:stretch>
                      <a:fillRect/>
                    </a:stretch>
                  </pic:blipFill>
                  <pic:spPr bwMode="auto">
                    <a:xfrm>
                      <a:off x="0" y="0"/>
                      <a:ext cx="5943600" cy="3008189"/>
                    </a:xfrm>
                    <a:prstGeom prst="rect">
                      <a:avLst/>
                    </a:prstGeom>
                    <a:noFill/>
                    <a:ln w="9525">
                      <a:noFill/>
                      <a:headEnd/>
                      <a:tailEnd/>
                    </a:ln>
                  </pic:spPr>
                </pic:pic>
              </a:graphicData>
            </a:graphic>
          </wp:inline>
        </w:drawing>
      </w:r>
    </w:p>
    <w:bookmarkStart w:id="53" w:name="catálogo-de-elementos-4"/>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Conciliación y Doku</w:t>
            </w:r>
          </w:p>
        </w:tc>
        <w:tc>
          <w:tcPr/>
          <w:p>
            <w:pPr>
              <w:pStyle w:val="Compact"/>
              <w:jc w:val="left"/>
            </w:pPr>
            <w:r>
              <w:t xml:space="preserve">constraint</w:t>
            </w:r>
          </w:p>
        </w:tc>
        <w:tc>
          <w:tcPr/>
          <w:p>
            <w:pPr>
              <w:pStyle w:val="Compact"/>
              <w:jc w:val="left"/>
            </w:pPr>
            <w:r>
              <w:t xml:space="preserve">Definir la ubicación de los componentes misionales de Conciliación Administrativa (SIU). Debe estar fuera de Doku.</w:t>
            </w:r>
          </w:p>
        </w:tc>
        <w:tc>
          <w:tcPr/>
          <w:p>
            <w:pPr>
              <w:pStyle w:val="Compact"/>
            </w:pPr>
          </w:p>
        </w:tc>
      </w:tr>
      <w:tr>
        <w:tc>
          <w:tcPr/>
          <w:p>
            <w:pPr>
              <w:pStyle w:val="Compact"/>
              <w:jc w:val="left"/>
            </w:pPr>
            <w:r>
              <w:rPr>
                <w:bCs/>
                <w:b/>
              </w:rPr>
              <w:t xml:space="preserve">Estatego como BI</w:t>
            </w:r>
          </w:p>
        </w:tc>
        <w:tc>
          <w:tcPr/>
          <w:p>
            <w:pPr>
              <w:pStyle w:val="Compact"/>
              <w:jc w:val="left"/>
            </w:pPr>
            <w:r>
              <w:t xml:space="preserve">constraint</w:t>
            </w:r>
          </w:p>
        </w:tc>
        <w:tc>
          <w:tcPr/>
          <w:p>
            <w:pPr>
              <w:pStyle w:val="Compact"/>
              <w:jc w:val="left"/>
            </w:pPr>
            <w:r>
              <w:t xml:space="preserve">Definir la arquitectura de Estratego migrado: puede ser una solución de BI simple, o puede ser una aplicación web tradicional.</w:t>
            </w:r>
          </w:p>
        </w:tc>
        <w:tc>
          <w:tcPr/>
          <w:p>
            <w:pPr>
              <w:pStyle w:val="Compact"/>
            </w:pPr>
          </w:p>
        </w:tc>
      </w:tr>
      <w:tr>
        <w:tc>
          <w:tcPr/>
          <w:p>
            <w:pPr>
              <w:pStyle w:val="Compact"/>
              <w:jc w:val="left"/>
            </w:pPr>
            <w:r>
              <w:rPr>
                <w:bCs/>
                <w:b/>
              </w:rPr>
              <w:t xml:space="preserve">Estrategia CMS central</w:t>
            </w:r>
          </w:p>
        </w:tc>
        <w:tc>
          <w:tcPr/>
          <w:p>
            <w:pPr>
              <w:pStyle w:val="Compact"/>
              <w:jc w:val="left"/>
            </w:pPr>
            <w:r>
              <w:t xml:space="preserve">constraint</w:t>
            </w:r>
          </w:p>
        </w:tc>
        <w:tc>
          <w:tcPr/>
          <w:p>
            <w:pPr>
              <w:pStyle w:val="Compact"/>
              <w:jc w:val="left"/>
            </w:pPr>
            <w:r>
              <w:t xml:space="preserve">Establecer desde el principio el gestor de contenidos compartido que los módulos del SUI migrados van a usar.</w:t>
            </w:r>
          </w:p>
        </w:tc>
        <w:tc>
          <w:tcPr/>
          <w:p>
            <w:pPr>
              <w:pStyle w:val="Compact"/>
            </w:pPr>
          </w:p>
        </w:tc>
      </w:tr>
      <w:tr>
        <w:tc>
          <w:tcPr/>
          <w:p>
            <w:pPr>
              <w:pStyle w:val="Compact"/>
              <w:jc w:val="left"/>
            </w:pPr>
            <w:r>
              <w:rPr>
                <w:bCs/>
                <w:b/>
              </w:rPr>
              <w:t xml:space="preserve">Gestión de sesiones / caducidad</w:t>
            </w:r>
          </w:p>
        </w:tc>
        <w:tc>
          <w:tcPr/>
          <w:p>
            <w:pPr>
              <w:pStyle w:val="Compact"/>
              <w:jc w:val="left"/>
            </w:pPr>
            <w:r>
              <w:t xml:space="preserve">constraint</w:t>
            </w:r>
          </w:p>
        </w:tc>
        <w:tc>
          <w:tcPr/>
          <w:p>
            <w:pPr>
              <w:pStyle w:val="Compact"/>
              <w:jc w:val="left"/>
            </w:pPr>
            <w:r>
              <w:t xml:space="preserve">Establecer desde el principio el motor de búsqueda de conteidos compartido para los módulos del SUI migrados.</w:t>
            </w:r>
          </w:p>
        </w:tc>
        <w:tc>
          <w:tcPr/>
          <w:p>
            <w:pPr>
              <w:pStyle w:val="Compact"/>
            </w:pPr>
          </w:p>
        </w:tc>
      </w:tr>
      <w:tr>
        <w:tc>
          <w:tcPr/>
          <w:p>
            <w:pPr>
              <w:pStyle w:val="Compact"/>
              <w:jc w:val="left"/>
            </w:pPr>
            <w:r>
              <w:rPr>
                <w:bCs/>
                <w:b/>
              </w:rPr>
              <w:t xml:space="preserve">Gestión de sesiones / caducidad</w:t>
            </w:r>
          </w:p>
        </w:tc>
        <w:tc>
          <w:tcPr/>
          <w:p>
            <w:pPr>
              <w:pStyle w:val="Compact"/>
              <w:jc w:val="left"/>
            </w:pPr>
            <w:r>
              <w:t xml:space="preserve">constraint</w:t>
            </w:r>
          </w:p>
        </w:tc>
        <w:tc>
          <w:tcPr/>
          <w:p>
            <w:pPr>
              <w:pStyle w:val="Compact"/>
              <w:jc w:val="left"/>
            </w:pPr>
            <w:r>
              <w:t xml:space="preserve">Definir la arquitectura de Estratego migrado: puede ser una solución de BI simple, o puede ser una aplicación web tradicional.</w:t>
            </w:r>
          </w:p>
        </w:tc>
        <w:tc>
          <w:tcPr/>
          <w:p>
            <w:pPr>
              <w:pStyle w:val="Compact"/>
            </w:pPr>
          </w:p>
        </w:tc>
      </w:tr>
      <w:tr>
        <w:tc>
          <w:tcPr/>
          <w:p>
            <w:pPr>
              <w:pStyle w:val="Compact"/>
              <w:jc w:val="left"/>
            </w:pPr>
            <w:r>
              <w:rPr>
                <w:bCs/>
                <w:b/>
              </w:rPr>
              <w:t xml:space="preserve">Motor de búsqueda</w:t>
            </w:r>
          </w:p>
        </w:tc>
        <w:tc>
          <w:tcPr/>
          <w:p>
            <w:pPr>
              <w:pStyle w:val="Compact"/>
              <w:jc w:val="left"/>
            </w:pPr>
            <w:r>
              <w:t xml:space="preserve">constraint</w:t>
            </w:r>
          </w:p>
        </w:tc>
        <w:tc>
          <w:tcPr/>
          <w:p>
            <w:pPr>
              <w:pStyle w:val="Compact"/>
              <w:jc w:val="left"/>
            </w:pPr>
            <w:r>
              <w:t xml:space="preserve">Establecer desde el principio el motor de búsqueda de conteidos compartido para los módulos del SUI migrados.</w:t>
            </w:r>
          </w:p>
        </w:tc>
        <w:tc>
          <w:tcPr/>
          <w:p>
            <w:pPr>
              <w:pStyle w:val="Compact"/>
            </w:pPr>
          </w:p>
        </w:tc>
      </w:tr>
      <w:tr>
        <w:tc>
          <w:tcPr/>
          <w:p>
            <w:pPr>
              <w:pStyle w:val="Compact"/>
              <w:jc w:val="left"/>
            </w:pPr>
            <w:r>
              <w:rPr>
                <w:bCs/>
                <w:b/>
              </w:rPr>
              <w:t xml:space="preserve">RIESG.</w:t>
            </w:r>
            <w:r>
              <w:rPr>
                <w:bCs/>
                <w:b/>
              </w:rPr>
              <w:t xml:space="preserve"> </w:t>
            </w:r>
          </w:p>
        </w:tc>
        <w:tc>
          <w:tcPr/>
          <w:p>
            <w:pPr>
              <w:pStyle w:val="Compact"/>
              <w:jc w:val="left"/>
            </w:pPr>
            <w:r>
              <w:t xml:space="preserve">constraint</w:t>
            </w:r>
          </w:p>
        </w:tc>
        <w:tc>
          <w:tcPr/>
          <w:p>
            <w:pPr>
              <w:pStyle w:val="Compact"/>
              <w:jc w:val="left"/>
            </w:pPr>
            <w:r>
              <w:t xml:space="preserve">Asuntos de la Migración:</w:t>
            </w:r>
            <w:r>
              <w:t xml:space="preserve">* Estrategia CMS central</w:t>
            </w:r>
            <w:r>
              <w:t xml:space="preserve">* Motor de búsqueda</w:t>
            </w:r>
            <w:r>
              <w:t xml:space="preserve">* Estatego como BI</w:t>
            </w:r>
            <w:r>
              <w:t xml:space="preserve">* Conciliación y Doku</w:t>
            </w:r>
            <w:r>
              <w:t xml:space="preserve">* Gestión de sesiones / caducidad</w:t>
            </w:r>
          </w:p>
        </w:tc>
        <w:tc>
          <w:tcPr/>
          <w:p>
            <w:pPr>
              <w:pStyle w:val="Compact"/>
            </w:pPr>
          </w:p>
        </w:tc>
      </w:tr>
    </w:tbl>
    <w:p>
      <w:r>
        <w:br w:type="page"/>
      </w:r>
    </w:p>
    <w:p>
      <w:r>
        <w:pict>
          <v:rect style="width:0;height:1.5pt" o:hralign="center" o:hrstd="t" o:hr="t"/>
        </w:pict>
      </w:r>
    </w:p>
    <w:bookmarkEnd w:id="53"/>
    <w:bookmarkEnd w:id="54"/>
    <w:bookmarkEnd w:id="55"/>
    <w:bookmarkStart w:id="62" w:name="arquitectura-migración-pgn-siu"/>
    <w:p>
      <w:pPr>
        <w:pStyle w:val="Heading1"/>
      </w:pPr>
      <w:r>
        <w:t xml:space="preserve">Arquitectura Migración PGN SIU</w:t>
      </w:r>
    </w:p>
    <w:p>
      <w:pPr>
        <w:pStyle w:val="FirstParagraph"/>
      </w:pPr>
      <w:hyperlink w:anchor="arquitectura-migración-pgn-siu"/>
      <w:r>
        <w:t xml:space="preserve"> </w:t>
      </w:r>
      <w:r>
        <w:t xml:space="preserve">## Migracion.1.SIU modulos</w:t>
      </w:r>
      <w:r>
        <w:t xml:space="preserve"> </w:t>
      </w:r>
      <w:hyperlink w:anchor="migracion.1.siu-modulos"/>
      <w:r>
        <w:t xml:space="preserve"> </w:t>
      </w:r>
      <w:r>
        <w:drawing>
          <wp:inline>
            <wp:extent cx="5943600" cy="3354363"/>
            <wp:effectExtent b="0" l="0" r="0" t="0"/>
            <wp:docPr descr="Diagram: Migracion.1.SIU modulos" title="" id="57" name="Picture"/>
            <a:graphic>
              <a:graphicData uri="http://schemas.openxmlformats.org/drawingml/2006/picture">
                <pic:pic>
                  <pic:nvPicPr>
                    <pic:cNvPr descr="images/Migracion.1.SIU%20modulos.png" id="58" name="Picture"/>
                    <pic:cNvPicPr>
                      <a:picLocks noChangeArrowheads="1" noChangeAspect="1"/>
                    </pic:cNvPicPr>
                  </pic:nvPicPr>
                  <pic:blipFill>
                    <a:blip r:embed="rId56"/>
                    <a:stretch>
                      <a:fillRect/>
                    </a:stretch>
                  </pic:blipFill>
                  <pic:spPr bwMode="auto">
                    <a:xfrm>
                      <a:off x="0" y="0"/>
                      <a:ext cx="5943600" cy="3354363"/>
                    </a:xfrm>
                    <a:prstGeom prst="rect">
                      <a:avLst/>
                    </a:prstGeom>
                    <a:noFill/>
                    <a:ln w="9525">
                      <a:noFill/>
                      <a:headEnd/>
                      <a:tailEnd/>
                    </a:ln>
                  </pic:spPr>
                </pic:pic>
              </a:graphicData>
            </a:graphic>
          </wp:inline>
        </w:drawing>
      </w:r>
    </w:p>
    <w:p>
      <w:pPr>
        <w:pStyle w:val="BodyText"/>
      </w:pPr>
      <w:r>
        <w:t xml:space="preserve">Distribución de los servicios y paquetes que integran la aplicación de SUI.</w:t>
      </w:r>
    </w:p>
    <w:p>
      <w:pPr>
        <w:pStyle w:val="BodyText"/>
      </w:pPr>
      <w:r>
        <w:t xml:space="preserve">Cuantro paquetes con tecnologías respectivas</w:t>
      </w:r>
      <w:r>
        <w:t xml:space="preserve"> </w:t>
      </w:r>
      <w:r>
        <w:t xml:space="preserve">1. Angular 11 (Web)</w:t>
      </w:r>
      <w:r>
        <w:t xml:space="preserve"> </w:t>
      </w:r>
      <w:r>
        <w:t xml:space="preserve">1. API Transaccional (Node Js)</w:t>
      </w:r>
      <w:r>
        <w:t xml:space="preserve"> </w:t>
      </w:r>
      <w:r>
        <w:t xml:space="preserve">1. API Config (C#)</w:t>
      </w:r>
      <w:r>
        <w:t xml:space="preserve"> </w:t>
      </w:r>
      <w:r>
        <w:t xml:space="preserve">1. Persistencia (SQL)</w:t>
      </w:r>
    </w:p>
    <w:bookmarkStart w:id="59" w:name="catálogo-de-elementos-5"/>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r>
              <w:t xml:space="preserve"> </w:t>
            </w: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r>
              <w:t xml:space="preserve"> </w:t>
            </w: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r>
              <w:t xml:space="preserve"> </w:t>
            </w: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r>
              <w:t xml:space="preserve"> </w:t>
            </w: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r>
              <w:t xml:space="preserve"> </w:t>
            </w:r>
            <w:r>
              <w:t xml:space="preserve">1. La solución debe proveer una consulta que permita a un usuario con los privilegios asignados, consultar los registros de auditoría, aplicando criterios de filtro (usuario, maquina, rango de fechas y tipo de operación).</w:t>
            </w:r>
            <w:r>
              <w:t xml:space="preserve"> </w:t>
            </w: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r>
              <w:t xml:space="preserve"> </w:t>
            </w:r>
            <w:r>
              <w:t xml:space="preserve">1. Las soluciones deben cumplir con los lineamientos de seguridad relacionados a su utilización a través de redes públicas y privadas, garantizando la confidencialidad e integridad de la información y acceso a ella.</w:t>
            </w:r>
            <w:r>
              <w:t xml:space="preserve"> </w:t>
            </w: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r>
              <w:t xml:space="preserve"> </w:t>
            </w:r>
            <w:r>
              <w:t xml:space="preserve">1. Debe incluir un mecanismo de cifrado de los datos que se transportan entre los diferentes componentes tecnológicos y los datos sensibles de la base de datos que representen un alto nivel de confidencialidad.</w:t>
            </w:r>
            <w:r>
              <w:t xml:space="preserve"> </w:t>
            </w:r>
            <w:r>
              <w:t xml:space="preserve">1. A nivel de la base de datos debe poder definirse reglas de validación de integridad de datos (unicidad, referencial y negocio).</w:t>
            </w:r>
            <w:r>
              <w:t xml:space="preserve"> </w:t>
            </w:r>
            <w:r>
              <w:t xml:space="preserve">1. Debe contemplar el cumplimiento de la normatividad vigente en cuanto a protección de datos personales y debe permitir el manejo de excepciones.</w:t>
            </w:r>
            <w:r>
              <w:t xml:space="preserve"> </w:t>
            </w:r>
            <w:r>
              <w:t xml:space="preserve">1. Para los casos que aplique se debe permitir el manejo de certificados y/o firmas digitales en los documentos que así se definan para efectos de aprobación y digitalización.</w:t>
            </w:r>
            <w:r>
              <w:t xml:space="preserve"> </w:t>
            </w:r>
            <w:r>
              <w:t xml:space="preserve">1. Debe contemplar las prácticas de desarrollo seguro de aplicaciones y/o implementación segura de productos, para su naturaleza Web based.</w:t>
            </w:r>
            <w:r>
              <w:t xml:space="preserve"> </w:t>
            </w:r>
            <w:r>
              <w:t xml:space="preserve">1. Debe funcionar sobre protocolo SSL (certificados internos de la entidad cuando los sistemas de información sean internas y certificados validos públicamente cuando los sistemas de información estén expuestas a internet).</w:t>
            </w:r>
            <w:r>
              <w:t xml:space="preserve"> </w:t>
            </w:r>
            <w:r>
              <w:t xml:space="preserve">1. Debe entregar un procedimiento para el respaldo de la información de acuerdo con las necesidades de la entidad.</w:t>
            </w:r>
            <w:r>
              <w:t xml:space="preserve"> </w:t>
            </w:r>
            <w:r>
              <w:t xml:space="preserve">1. Debe incluir uso de criptografía para transacciones y/o campos sensibles según lo indiquen las normas vigentes y las necesidades específicas del negocio de acuerdo como lo determine la entidad.</w:t>
            </w:r>
            <w:r>
              <w:t xml:space="preserve"> </w:t>
            </w:r>
            <w:r>
              <w:t xml:space="preserve">1. Debe contemplar un modelo de datos que garantice base de datos única para evitar que se pueda presentar duplicidad de información.</w:t>
            </w:r>
            <w:r>
              <w:t xml:space="preserve"> </w:t>
            </w:r>
            <w:r>
              <w:t xml:space="preserve">1. En la información confidencial solo puede ser consultada por los perfiles autorizados e igualmente restringir documentos de consulta según los privilegios o permisos asociados.</w:t>
            </w:r>
            <w:r>
              <w:t xml:space="preserve"> </w:t>
            </w:r>
            <w:r>
              <w:t xml:space="preserve">1. A nivel de la base de datos debe poder definirse reglas de validación de integridad de datos (unicidad, referencial y negocio).</w:t>
            </w:r>
            <w:r>
              <w:t xml:space="preserve"> </w:t>
            </w:r>
            <w:r>
              <w:t xml:space="preserve">1. Debe cerrar las transacciones luego de máximo 10 minutos de inactividad.</w:t>
            </w:r>
            <w:r>
              <w:t xml:space="preserve"> </w:t>
            </w:r>
            <w:r>
              <w:t xml:space="preserve">1. Debe incluir controles de bloqueo de cuenta después de un máximo de 5 intentos erróneos a fin de evitar ataques de fuerza bruta.</w:t>
            </w:r>
            <w:r>
              <w:t xml:space="preserve"> </w:t>
            </w:r>
            <w:r>
              <w:t xml:space="preserve">1. Debe evidenciar el resultado positivo frente apruebas de ethical hacking, análisis de vulnerabilidades, carga, estrés y desempeño antes de la puesta en operación de acuerdo con los lineamientos de la entidad.</w:t>
            </w:r>
            <w:r>
              <w:t xml:space="preserve"> </w:t>
            </w: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r>
              <w:t xml:space="preserve"> </w:t>
            </w:r>
          </w:p>
        </w:tc>
        <w:tc>
          <w:tcPr/>
          <w:p>
            <w:pPr>
              <w:pStyle w:val="Compact"/>
            </w:pPr>
          </w:p>
        </w:tc>
      </w:tr>
    </w:tbl>
    <w:p>
      <w:pPr>
        <w:pStyle w:val="BodyText"/>
      </w:pPr>
      <w:r>
        <w:rPr>
          <w:rStyle w:val="VerbatimChar"/>
        </w:rPr>
        <w:t xml:space="preserve">Generated on: Wed Aug 30 2023 16:12:51 GMT-0500 (COT)</w:t>
      </w:r>
    </w:p>
    <w:bookmarkEnd w:id="59"/>
    <w:bookmarkStart w:id="60" w:name="requerimientos-de-administración"/>
    <w:p>
      <w:pPr>
        <w:pStyle w:val="Heading2"/>
      </w:pPr>
      <w:r>
        <w:t xml:space="preserve">Requerimientos de Administración</w:t>
      </w:r>
    </w:p>
    <w:p>
      <w:pPr>
        <w:numPr>
          <w:ilvl w:val="0"/>
          <w:numId w:val="1007"/>
        </w:numPr>
        <w:pStyle w:val="Compact"/>
      </w:pPr>
      <w:r>
        <w:t xml:space="preserve">Las soluciones deben permitir la administración de los Roles de Usuarios: esta funcionalidad debe permitir configurar los diferentes roles de los usuarios funcionales de los procesos.</w:t>
      </w:r>
    </w:p>
    <w:p>
      <w:pPr>
        <w:numPr>
          <w:ilvl w:val="0"/>
          <w:numId w:val="1007"/>
        </w:numPr>
        <w:pStyle w:val="Compact"/>
      </w:pPr>
      <w:r>
        <w:t xml:space="preserve">Administrar los Perfiles de acceso por rol: Esta funcionalidad permitirá configurar a que funcionalidades u opciones de la solución puede entrar un usuario con un rol específico.</w:t>
      </w:r>
      <w:r>
        <w:t xml:space="preserve"> </w:t>
      </w:r>
      <w:r>
        <w:t xml:space="preserve">Administrar los Usuarios de la Solución: Esta funcionalidad debe permitir configurar, activar, desactivar usuarios de las soluciones desarrolladas.</w:t>
      </w:r>
    </w:p>
    <w:p>
      <w:pPr>
        <w:numPr>
          <w:ilvl w:val="0"/>
          <w:numId w:val="1007"/>
        </w:numPr>
        <w:pStyle w:val="Compact"/>
      </w:pPr>
      <w:r>
        <w:t xml:space="preserve">Para los casos que aplique se debe asociar el desarrollo con el mecanismo de Firmas (digital, electrónica o mecánica): Esta funcionalidad debe permitir configurar los usuarios que tienen permitida la aprobación de documentos desde la solución implementada, a través del tipo de firma que corresponda.</w:t>
      </w:r>
    </w:p>
    <w:p>
      <w:pPr>
        <w:numPr>
          <w:ilvl w:val="0"/>
          <w:numId w:val="1007"/>
        </w:numPr>
        <w:pStyle w:val="Compact"/>
      </w:pPr>
      <w:r>
        <w:t xml:space="preserve">Administrar los Permisos de acceso: Esta funcionalidad permite definir específicamente a que servicios de la solución puede ingresar un usuario (CRUD).</w:t>
      </w:r>
    </w:p>
    <w:p>
      <w:pPr>
        <w:numPr>
          <w:ilvl w:val="0"/>
          <w:numId w:val="1007"/>
        </w:numPr>
        <w:pStyle w:val="Compact"/>
      </w:pPr>
      <w:r>
        <w:t xml:space="preserve">En los desarrollos se debe contar con un módulo de auditoría que permita generar consultas para conocer quién y cuándo se ha realizado una actuación determinada dentro de procesos críticos, almacenando el código del usuario la actuación, la acción, la fecha, la hora, y la dirección IP de la máquina.</w:t>
      </w:r>
    </w:p>
    <w:p>
      <w:pPr>
        <w:numPr>
          <w:ilvl w:val="0"/>
          <w:numId w:val="1007"/>
        </w:numPr>
        <w:pStyle w:val="Compact"/>
      </w:pPr>
      <w:r>
        <w:t xml:space="preserve">Las soluciones deben permitir la configuración de permisos de consulta con diferentes alcances para cada tipo de usuario.</w:t>
      </w:r>
    </w:p>
    <w:p>
      <w:pPr>
        <w:numPr>
          <w:ilvl w:val="0"/>
          <w:numId w:val="1007"/>
        </w:numPr>
        <w:pStyle w:val="Compact"/>
      </w:pPr>
      <w:r>
        <w:t xml:space="preserve">Desde la interfaz de usuario se debe poder crear, modificar o inactivar usuarios, perfiles o roles, permisos a las diferentes funcionalidades de la solución.</w:t>
      </w:r>
    </w:p>
    <w:p>
      <w:pPr>
        <w:numPr>
          <w:ilvl w:val="0"/>
          <w:numId w:val="1007"/>
        </w:numPr>
        <w:pStyle w:val="Compact"/>
      </w:pPr>
      <w:r>
        <w:t xml:space="preserve">Las soluciones deben permitir la definición de varios tipos de usuario.</w:t>
      </w:r>
    </w:p>
    <w:p>
      <w:pPr>
        <w:numPr>
          <w:ilvl w:val="0"/>
          <w:numId w:val="1007"/>
        </w:numPr>
        <w:pStyle w:val="Compact"/>
      </w:pPr>
      <w:r>
        <w:t xml:space="preserve">Las soluciones deben permitir la parametrización de los consecutivos que maneja la entidad para los diferentes documentos generados por las soluciones.</w:t>
      </w:r>
    </w:p>
    <w:p>
      <w:pPr>
        <w:numPr>
          <w:ilvl w:val="0"/>
          <w:numId w:val="1007"/>
        </w:numPr>
        <w:pStyle w:val="Compact"/>
      </w:pPr>
      <w:r>
        <w:t xml:space="preserve">Debe permitir parametrizar la vinculación del consecutivo a un documento en forma manual o automática.</w:t>
      </w:r>
    </w:p>
    <w:p>
      <w:pPr>
        <w:numPr>
          <w:ilvl w:val="0"/>
          <w:numId w:val="1007"/>
        </w:numPr>
        <w:pStyle w:val="Compact"/>
      </w:pPr>
      <w:r>
        <w:t xml:space="preserve">Las soluciones deben permitir que se configure la autenticación de forma interna integrándose con LDAP el acceso de los usuarios y actores de las diferentes dependencias de la entidad que interactúen con los demás sistemas.</w:t>
      </w:r>
    </w:p>
    <w:p>
      <w:pPr>
        <w:pStyle w:val="FirstParagraph"/>
      </w:pPr>
    </w:p>
    <w:bookmarkEnd w:id="60"/>
    <w:bookmarkStart w:id="61" w:name="requerimientos-de-seguridad"/>
    <w:p>
      <w:pPr>
        <w:pStyle w:val="Heading2"/>
      </w:pPr>
      <w:r>
        <w:t xml:space="preserve">Requerimientos de Seguridad</w:t>
      </w:r>
    </w:p>
    <w:p>
      <w:pPr>
        <w:numPr>
          <w:ilvl w:val="0"/>
          <w:numId w:val="1008"/>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8"/>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8"/>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8"/>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8"/>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8"/>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8"/>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8"/>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8"/>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8"/>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8"/>
        </w:numPr>
        <w:pStyle w:val="Compact"/>
      </w:pPr>
      <w:r>
        <w:t xml:space="preserve">A nivel de la base de datos debe poder definirse reglas de validación de integridad de datos (unicidad, referencial y negocio).</w:t>
      </w:r>
    </w:p>
    <w:p>
      <w:pPr>
        <w:numPr>
          <w:ilvl w:val="0"/>
          <w:numId w:val="1008"/>
        </w:numPr>
        <w:pStyle w:val="Compact"/>
      </w:pPr>
      <w:r>
        <w:t xml:space="preserve">Debe contemplar el cumplimiento de la normatividad vigente en cuanto a protección de datos personales y debe permitir el manejo de excepciones.</w:t>
      </w:r>
    </w:p>
    <w:p>
      <w:pPr>
        <w:numPr>
          <w:ilvl w:val="0"/>
          <w:numId w:val="1008"/>
        </w:numPr>
        <w:pStyle w:val="Compact"/>
      </w:pPr>
      <w:r>
        <w:t xml:space="preserve">Para los casos que aplique se debe permitir el manejo de certificados y/o firmas digitales en los documentos que así se definan para efectos de aprobación y digitalización.</w:t>
      </w:r>
    </w:p>
    <w:p>
      <w:pPr>
        <w:numPr>
          <w:ilvl w:val="0"/>
          <w:numId w:val="1008"/>
        </w:numPr>
        <w:pStyle w:val="Compact"/>
      </w:pPr>
      <w:r>
        <w:t xml:space="preserve">Debe contemplar las prácticas de desarrollo seguro de aplicaciones y/o implementación segura de productos, para su naturaleza Web based.</w:t>
      </w:r>
    </w:p>
    <w:p>
      <w:pPr>
        <w:numPr>
          <w:ilvl w:val="0"/>
          <w:numId w:val="1008"/>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8"/>
        </w:numPr>
        <w:pStyle w:val="Compact"/>
      </w:pPr>
      <w:r>
        <w:t xml:space="preserve">Debe entregar un procedimiento para el respaldo de la información de acuerdo con las necesidades de la entidad.</w:t>
      </w:r>
    </w:p>
    <w:p>
      <w:pPr>
        <w:numPr>
          <w:ilvl w:val="0"/>
          <w:numId w:val="1008"/>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8"/>
        </w:numPr>
        <w:pStyle w:val="Compact"/>
      </w:pPr>
      <w:r>
        <w:t xml:space="preserve">Debe contemplar un modelo de datos que garantice base de datos única para evitar que se pueda presentar duplicidad de información.</w:t>
      </w:r>
    </w:p>
    <w:p>
      <w:pPr>
        <w:numPr>
          <w:ilvl w:val="0"/>
          <w:numId w:val="1008"/>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8"/>
        </w:numPr>
        <w:pStyle w:val="Compact"/>
      </w:pPr>
      <w:r>
        <w:t xml:space="preserve">A nivel de la base de datos debe poder definirse reglas de validación de integridad de datos (unicidad, referencial y negocio).</w:t>
      </w:r>
    </w:p>
    <w:p>
      <w:pPr>
        <w:numPr>
          <w:ilvl w:val="0"/>
          <w:numId w:val="1008"/>
        </w:numPr>
        <w:pStyle w:val="Compact"/>
      </w:pPr>
      <w:r>
        <w:t xml:space="preserve">Debe cerrar las transacciones luego de máximo 10 minutos de inactividad.</w:t>
      </w:r>
    </w:p>
    <w:p>
      <w:pPr>
        <w:numPr>
          <w:ilvl w:val="0"/>
          <w:numId w:val="1008"/>
        </w:numPr>
        <w:pStyle w:val="Compact"/>
      </w:pPr>
      <w:r>
        <w:t xml:space="preserve">Debe incluir controles de bloqueo de cuenta después de un máximo de 5 intentos erróneos a fin de evitar ataques de fuerza bruta.</w:t>
      </w:r>
    </w:p>
    <w:p>
      <w:pPr>
        <w:numPr>
          <w:ilvl w:val="0"/>
          <w:numId w:val="1008"/>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8"/>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r>
        <w:t xml:space="preserve"> </w:t>
      </w:r>
      <w:r>
        <w:t xml:space="preserve">˝</w:t>
      </w:r>
    </w:p>
    <w:p>
      <w:r>
        <w:br w:type="page"/>
      </w:r>
    </w:p>
    <w:bookmarkEnd w:id="61"/>
    <w:bookmarkEnd w:id="62"/>
    <w:bookmarkStart w:id="66" w:name="referencias"/>
    <w:p>
      <w:pPr>
        <w:pStyle w:val="Heading1"/>
      </w:pPr>
      <w:r>
        <w:t xml:space="preserve">Referencias</w:t>
      </w:r>
    </w:p>
    <w:bookmarkStart w:id="65" w:name="refs"/>
    <w:p>
      <w:pPr>
        <w:pStyle w:val="Bibliography"/>
      </w:pPr>
      <w:r>
        <w:t xml:space="preserve">[</w:t>
      </w:r>
      <w:hyperlink w:anchor="ref-19ZPD5YjC">
        <w:r>
          <w:rPr>
            <w:rStyle w:val="Hyperlink"/>
          </w:rPr>
          <w:t xml:space="preserve">1</w:t>
        </w:r>
      </w:hyperlink>
      <w:r>
        <w:t xml:space="preserve">]</w:t>
      </w:r>
      <w:r>
        <w:t xml:space="preserve"> </w:t>
      </w:r>
      <w:r>
        <w:t xml:space="preserve">[</w:t>
      </w:r>
      <w:hyperlink w:anchor="ref-eservices3-22">
        <w:r>
          <w:rPr>
            <w:rStyle w:val="Hyperlink"/>
            <w:bCs/>
            <w:b/>
          </w:rPr>
          <w:t xml:space="preserve">eservices3-22?</w:t>
        </w:r>
      </w:hyperlink>
      <w:r>
        <w:t xml:space="preserve">]</w:t>
      </w:r>
      <w:r>
        <w:t xml:space="preserve"> </w:t>
      </w:r>
      <w:r>
        <w:t xml:space="preserve">[</w:t>
      </w:r>
      <w:hyperlink w:anchor="ref-eservices4-22">
        <w:r>
          <w:rPr>
            <w:rStyle w:val="Hyperlink"/>
            <w:bCs/>
            <w:b/>
          </w:rPr>
          <w:t xml:space="preserve">eservices4-22?</w:t>
        </w:r>
      </w:hyperlink>
      <w:r>
        <w:t xml:space="preserve">]</w:t>
      </w:r>
      <w:r>
        <w:t xml:space="preserve"> </w:t>
      </w:r>
      <w:r>
        <w:t xml:space="preserve">[</w:t>
      </w:r>
      <w:hyperlink w:anchor="ref-eservices5-23">
        <w:r>
          <w:rPr>
            <w:rStyle w:val="Hyperlink"/>
            <w:bCs/>
            <w:b/>
          </w:rPr>
          <w:t xml:space="preserve">eservices5-23?</w:t>
        </w:r>
      </w:hyperlink>
      <w:r>
        <w:t xml:space="preserve">]</w:t>
      </w:r>
      <w:r>
        <w:t xml:space="preserve"> </w:t>
      </w:r>
      <w:r>
        <w:t xml:space="preserve">[</w:t>
      </w:r>
      <w:hyperlink w:anchor="ref-eservices6-12">
        <w:r>
          <w:rPr>
            <w:rStyle w:val="Hyperlink"/>
            <w:bCs/>
            <w:b/>
          </w:rPr>
          <w:t xml:space="preserve">eservices6-12?</w:t>
        </w:r>
      </w:hyperlink>
      <w:r>
        <w:t xml:space="preserve">]</w:t>
      </w:r>
      <w:r>
        <w:t xml:space="preserve"> </w:t>
      </w:r>
      <w:r>
        <w:t xml:space="preserve">[</w:t>
      </w:r>
      <w:hyperlink w:anchor="ref-eservices7-23">
        <w:r>
          <w:rPr>
            <w:rStyle w:val="Hyperlink"/>
            <w:bCs/>
            <w:b/>
          </w:rPr>
          <w:t xml:space="preserve">eservices7-23?</w:t>
        </w:r>
      </w:hyperlink>
      <w:r>
        <w:t xml:space="preserve">]</w:t>
      </w:r>
      <w:r>
        <w:t xml:space="preserve"> </w:t>
      </w:r>
      <w:r>
        <w:t xml:space="preserve">[</w:t>
      </w:r>
      <w:hyperlink w:anchor="ref-bptrends07">
        <w:r>
          <w:rPr>
            <w:rStyle w:val="Hyperlink"/>
            <w:bCs/>
            <w:b/>
          </w:rPr>
          <w:t xml:space="preserve">bptrends07?</w:t>
        </w:r>
      </w:hyperlink>
      <w:r>
        <w:t xml:space="preserve">]</w:t>
      </w:r>
    </w:p>
    <w:bookmarkStart w:id="64" w:name="ref-19ZPD5YjC"/>
    <w:p>
      <w:pPr>
        <w:pStyle w:val="Bibliography"/>
      </w:pPr>
      <w:r>
        <w:t xml:space="preserve">1.</w:t>
      </w:r>
      <w:r>
        <w:t xml:space="preserve"> </w:t>
      </w:r>
      <w:r>
        <w:t xml:space="preserve">	</w:t>
      </w:r>
      <w:r>
        <w:rPr>
          <w:bCs/>
          <w:b/>
        </w:rPr>
        <w:t xml:space="preserve">Softgic. Proyecto de mejoramiento SIU de PGN. Fase i</w:t>
      </w:r>
      <w:r>
        <w:t xml:space="preserve"> </w:t>
      </w:r>
      <w:r>
        <w:t xml:space="preserve">Softgic, PGN</w:t>
      </w:r>
      <w:r>
        <w:t xml:space="preserve"> </w:t>
      </w:r>
      <w:r>
        <w:t xml:space="preserve">(2022-06)</w:t>
      </w:r>
      <w:r>
        <w:t xml:space="preserve"> </w:t>
      </w:r>
      <w:hyperlink r:id="rId63">
        <w:r>
          <w:rPr>
            <w:rStyle w:val="Hyperlink"/>
          </w:rPr>
          <w:t xml:space="preserve">https://hwong23.github.io/fna-devdoc-f1/v/6497aef0f15c3591f0728e4c42cb2c26c13b43aa/</w:t>
        </w:r>
      </w:hyperlink>
    </w:p>
    <w:bookmarkEnd w:id="64"/>
    <w:bookmarkEnd w:id="65"/>
    <w:bookmarkEnd w:id="66"/>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A5ECBF66"/>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754225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AA6A0A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F642E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24872BE"/>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B606A376"/>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B167D6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4556493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8FE6332"/>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C44F1E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55C244EE"/>
    <w:multiLevelType w:val="hybridMultilevel"/>
    <w:tmpl w:val="33F497CC"/>
    <w:lvl w:ilvl="0" w:tplc="AD56300C">
      <w:start w:val="1"/>
      <w:numFmt w:val="upperLetter"/>
      <w:pStyle w:val="Heading2"/>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486AA6"/>
    <w:pPr>
      <w:keepNext/>
      <w:keepLines/>
      <w:jc w:val="center"/>
      <w:outlineLvl w:val="0"/>
    </w:pPr>
    <w:rPr>
      <w:rFonts w:cstheme="majorBidi" w:eastAsiaTheme="majorEastAsia"/>
      <w:b/>
      <w:bCs/>
      <w:caps/>
      <w:szCs w:val="32"/>
    </w:rPr>
  </w:style>
  <w:style w:styleId="Heading2" w:type="paragraph">
    <w:name w:val="heading 2"/>
    <w:basedOn w:val="Normal"/>
    <w:next w:val="BodyText"/>
    <w:autoRedefine/>
    <w:uiPriority w:val="9"/>
    <w:rsid w:val="00486AA6"/>
    <w:pPr>
      <w:keepNext/>
      <w:keepLines/>
      <w:numPr>
        <w:numId w:val="12"/>
      </w:numPr>
      <w:ind w:left="360"/>
      <w:outlineLvl w:val="1"/>
    </w:pPr>
    <w:rPr>
      <w:rFonts w:cstheme="majorBidi" w:eastAsiaTheme="majorEastAsia"/>
      <w:b/>
      <w:bCs/>
      <w:szCs w:val="28"/>
    </w:rPr>
  </w:style>
  <w:style w:styleId="Heading3" w:type="paragraph">
    <w:name w:val="heading 3"/>
    <w:basedOn w:val="Normal"/>
    <w:next w:val="BodyText"/>
    <w:autoRedefine/>
    <w:uiPriority w:val="9"/>
    <w:rsid w:val="00486AA6"/>
    <w:pPr>
      <w:keepNext/>
      <w:keepLines/>
      <w:ind w:left="360"/>
      <w:outlineLvl w:val="2"/>
    </w:pPr>
    <w:rPr>
      <w:rFonts w:cstheme="majorBidi" w:eastAsiaTheme="majorEastAsia"/>
      <w:b/>
      <w:bCs/>
      <w:szCs w:val="24"/>
    </w:rPr>
  </w:style>
  <w:style w:styleId="Heading4" w:type="paragraph">
    <w:name w:val="heading 4"/>
    <w:basedOn w:val="Normal"/>
    <w:next w:val="BodyText"/>
    <w:autoRedefine/>
    <w:uiPriority w:val="9"/>
    <w:rsid w:val="00323618"/>
    <w:pPr>
      <w:keepNext/>
      <w:keepLines/>
      <w:ind w:left="360"/>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ind w:left="360"/>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ind w:left="360"/>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ind w:left="360"/>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ind w:left="360"/>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ind w:left="360"/>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5" Target="media/rId35.png" /><Relationship Type="http://schemas.openxmlformats.org/officeDocument/2006/relationships/image" Id="rId40" Target="media/rId40.png" /><Relationship Type="http://schemas.openxmlformats.org/officeDocument/2006/relationships/image" Id="rId45" Target="media/rId45.png" /><Relationship Type="http://schemas.openxmlformats.org/officeDocument/2006/relationships/image" Id="rId56" Target="media/rId56.png" /><Relationship Type="http://schemas.openxmlformats.org/officeDocument/2006/relationships/image" Id="rId50" Target="media/rId50.png" /><Relationship Type="http://schemas.openxmlformats.org/officeDocument/2006/relationships/hyperlink" Id="rId26" Target="N03a%a20Vsta%20aSegenta%20SOA%20PGN.md" TargetMode="External" /><Relationship Type="http://schemas.openxmlformats.org/officeDocument/2006/relationships/hyperlink" Id="rId21" Target="http://softgic.sharepoint.com" TargetMode="External" /><Relationship Type="http://schemas.openxmlformats.org/officeDocument/2006/relationships/hyperlink" Id="rId22" Target="https://github.com/e_hwong" TargetMode="External" /><Relationship Type="http://schemas.openxmlformats.org/officeDocument/2006/relationships/hyperlink" Id="rId63" Target="https://hwong23.github.io/fna-devdoc-f1/v/6497aef0f15c3591f0728e4c42cb2c26c13b43aa/" TargetMode="External" /><Relationship Type="http://schemas.openxmlformats.org/officeDocument/2006/relationships/hyperlink" Id="rId20" Target="https://hwong23.github.io/pgn-078/v/f6c37804b646420bfd596542dbb352b1de862007/" TargetMode="External" /></Relationships>
</file>

<file path=word/_rels/footnotes.xml.rels><?xml version="1.0" encoding="UTF-8"?><Relationships xmlns="http://schemas.openxmlformats.org/package/2006/relationships"><Relationship Type="http://schemas.openxmlformats.org/officeDocument/2006/relationships/hyperlink" Id="rId26" Target="N03a%a20Vsta%20aSegenta%20SOA%20PGN.md" TargetMode="External" /><Relationship Type="http://schemas.openxmlformats.org/officeDocument/2006/relationships/hyperlink" Id="rId21" Target="http://softgic.sharepoint.com" TargetMode="External" /><Relationship Type="http://schemas.openxmlformats.org/officeDocument/2006/relationships/hyperlink" Id="rId22" Target="https://github.com/e_hwong" TargetMode="External" /><Relationship Type="http://schemas.openxmlformats.org/officeDocument/2006/relationships/hyperlink" Id="rId63" Target="https://hwong23.github.io/fna-devdoc-f1/v/6497aef0f15c3591f0728e4c42cb2c26c13b43aa/" TargetMode="External" /><Relationship Type="http://schemas.openxmlformats.org/officeDocument/2006/relationships/hyperlink" Id="rId20" Target="https://hwong23.github.io/pgn-078/v/f6c37804b646420bfd596542dbb352b1de86200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Arquitectura Migración Funcional PGN SIU</dc:title>
  <dc:creator/>
  <dc:language>en-US</dc:language>
  <cp:keywords>SOA, madurez, gobierno, PGN</cp:keywords>
  <dcterms:created xsi:type="dcterms:W3CDTF">2023-08-31T13:31:16Z</dcterms:created>
  <dcterms:modified xsi:type="dcterms:W3CDTF">2023-08-31T13:31:16Z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2023-08-31</vt:lpwstr>
  </property>
  <property fmtid="{D5CDD505-2E9C-101B-9397-08002B2CF9AE}" pid="7" name="fignos-caption-name">
    <vt:lpwstr>Imagen</vt:lpwstr>
  </property>
  <property fmtid="{D5CDD505-2E9C-101B-9397-08002B2CF9AE}" pid="8" name="fignos-cleveref">
    <vt:lpwstr>True</vt:lpwstr>
  </property>
  <property fmtid="{D5CDD505-2E9C-101B-9397-08002B2CF9AE}" pid="9" name="fignos-plus-name">
    <vt:lpwstr>Fig.</vt:lpwstr>
  </property>
  <property fmtid="{D5CDD505-2E9C-101B-9397-08002B2CF9AE}" pid="10" name="geometry">
    <vt:lpwstr/>
  </property>
  <property fmtid="{D5CDD505-2E9C-101B-9397-08002B2CF9AE}" pid="11" name="header-includes">
    <vt:lpwstr>  </vt:lpwstr>
  </property>
  <property fmtid="{D5CDD505-2E9C-101B-9397-08002B2CF9AE}" pid="12" name="link-citations">
    <vt:lpwstr>True</vt:lpwstr>
  </property>
  <property fmtid="{D5CDD505-2E9C-101B-9397-08002B2CF9AE}" pid="13" name="manubot-clear-requests-cache">
    <vt:lpwstr>False</vt:lpwstr>
  </property>
  <property fmtid="{D5CDD505-2E9C-101B-9397-08002B2CF9AE}" pid="14" name="manubot-output-bibliography">
    <vt:lpwstr>output/references.json</vt:lpwstr>
  </property>
  <property fmtid="{D5CDD505-2E9C-101B-9397-08002B2CF9AE}" pid="15" name="manubot-output-citekeys">
    <vt:lpwstr>output/citations.tsv</vt:lpwstr>
  </property>
  <property fmtid="{D5CDD505-2E9C-101B-9397-08002B2CF9AE}" pid="16" name="manubot-requests-cache-path">
    <vt:lpwstr>ci/cache/requests-cache</vt:lpwstr>
  </property>
  <property fmtid="{D5CDD505-2E9C-101B-9397-08002B2CF9AE}" pid="17" name="references">
    <vt:lpwstr/>
  </property>
  <property fmtid="{D5CDD505-2E9C-101B-9397-08002B2CF9AE}" pid="18" name="tablenos-caption-name">
    <vt:lpwstr>Tabla</vt:lpwstr>
  </property>
</Properties>
</file>