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r>
        <w:t xml:space="preserve">   </w:t>
      </w:r>
      <w:r>
        <w:rPr>
          <w:bCs/>
          <w:b/>
        </w:rPr>
        <w:t xml:space="preserve">Versión</w:t>
      </w:r>
      <w:r>
        <w:t xml:space="preserve"> </w:t>
      </w:r>
      <w:r>
        <w:t xml:space="preserve">del producto 1.b0c3080 de 12 Sep 2023</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Presentado a</w:t>
      </w:r>
    </w:p>
    <w:p>
      <w:pPr>
        <w:pStyle w:val="BodyText"/>
      </w:pPr>
    </w:p>
    <w:p>
      <w:pPr>
        <w:pStyle w:val="BodyText"/>
      </w:pPr>
      <w:r>
        <w:t xml:space="preserve">Procuraduría General de la Nación (PGN)</w:t>
      </w:r>
    </w:p>
    <w:p>
      <w:pPr>
        <w:pStyle w:val="BodyText"/>
      </w:pPr>
      <w:r>
        <w:rPr>
          <w:bCs/>
          <w:b/>
        </w:rPr>
        <w:t xml:space="preserve">Fecha</w:t>
      </w:r>
    </w:p>
    <w:p>
      <w:pPr>
        <w:pStyle w:val="BodyText"/>
      </w:pP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Softgic@b0c3080</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1.b0c3080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4"/>
    <w:bookmarkStart w:id="67" w:name="línea-base-pgn-siu"/>
    <w:p>
      <w:pPr>
        <w:pStyle w:val="Heading1"/>
      </w:pPr>
      <w:r>
        <w:t xml:space="preserve">Línea Base PGN SIU</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5"/>
    <w:bookmarkEnd w:id="66"/>
    <w:bookmarkEnd w:id="67"/>
    <w:bookmarkStart w:id="87" w:name="arquitectura-migración-pgn-siu"/>
    <w:p>
      <w:pPr>
        <w:pStyle w:val="Heading1"/>
      </w:pPr>
      <w:r>
        <w:t xml:space="preserve">Arquitectura Migración PGN SIU</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1.b0c3080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b0c30803c5416d452f786d9d3d154918d40fe22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b0c30803c5416d452f786d9d3d154918d40fe222/"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2023-09-12T04:49:39Z</dcterms:created>
  <dcterms:modified xsi:type="dcterms:W3CDTF">2023-09-12T04:49:39Z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