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riesgos.1.-migración-funcional"/>
    <w:p>
      <w:pPr>
        <w:pStyle w:val="Heading2"/>
      </w:pPr>
      <w:r>
        <w:t xml:space="preserve">Riesgos.1. Migración funcional</w:t>
      </w:r>
    </w:p>
    <w:bookmarkStart w:id="0" w:name="fig:Riesgos.1.Migraciónfuncional"/>
    <w:p>
      <w:pPr>
        <w:pStyle w:val="CaptionedFigure"/>
      </w:pPr>
      <w:bookmarkStart w:id="23" w:name="fig:Riesgos.1.Migraciónfuncional"/>
      <w:r>
        <w:drawing>
          <wp:inline>
            <wp:extent cx="5943600" cy="3008189"/>
            <wp:effectExtent b="0" l="0" r="0" t="0"/>
            <wp:docPr descr="Figure 1: Diagram: Riesgos.1. Migración funcional" title="" id="21" name="Picture"/>
            <a:graphic>
              <a:graphicData uri="http://schemas.openxmlformats.org/drawingml/2006/picture">
                <pic:pic>
                  <pic:nvPicPr>
                    <pic:cNvPr descr="images/Riesgos.1.Migraciónfuncional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8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Riesgos.1. Migración funcional</w:t>
      </w:r>
    </w:p>
    <w:bookmarkEnd w:id="0"/>
    <w:p>
      <w:pPr>
        <w:pStyle w:val="BodyText"/>
      </w:pPr>
      <w:r>
        <w:t xml:space="preserve">Riesgos de la migración funcional:</w:t>
      </w:r>
    </w:p>
    <w:p>
      <w:pPr>
        <w:numPr>
          <w:ilvl w:val="0"/>
          <w:numId w:val="1001"/>
        </w:numPr>
        <w:pStyle w:val="Compact"/>
      </w:pPr>
      <w:r>
        <w:t xml:space="preserve">RSG1. Estrategia CMS central</w:t>
      </w:r>
    </w:p>
    <w:p>
      <w:pPr>
        <w:numPr>
          <w:ilvl w:val="0"/>
          <w:numId w:val="1001"/>
        </w:numPr>
        <w:pStyle w:val="Compact"/>
      </w:pPr>
      <w:r>
        <w:t xml:space="preserve">RSG2. Motor de búsqueda</w:t>
      </w:r>
    </w:p>
    <w:p>
      <w:pPr>
        <w:numPr>
          <w:ilvl w:val="0"/>
          <w:numId w:val="1001"/>
        </w:numPr>
        <w:pStyle w:val="Compact"/>
      </w:pPr>
      <w:r>
        <w:t xml:space="preserve">RSG3. Estatego como BI</w:t>
      </w:r>
    </w:p>
    <w:p>
      <w:pPr>
        <w:numPr>
          <w:ilvl w:val="0"/>
          <w:numId w:val="1001"/>
        </w:numPr>
        <w:pStyle w:val="Compact"/>
      </w:pPr>
      <w:r>
        <w:t xml:space="preserve">RSG4. Conciliación y Doku</w:t>
      </w:r>
    </w:p>
    <w:p>
      <w:pPr>
        <w:numPr>
          <w:ilvl w:val="0"/>
          <w:numId w:val="1001"/>
        </w:numPr>
        <w:pStyle w:val="Compact"/>
      </w:pPr>
      <w:r>
        <w:t xml:space="preserve">RSG5. Gestión de sesiones / caducidad</w:t>
      </w:r>
    </w:p>
    <w:bookmarkStart w:id="24" w:name="acciones-de-mitigación"/>
    <w:p>
      <w:pPr>
        <w:pStyle w:val="Heading3"/>
      </w:pPr>
      <w:r>
        <w:t xml:space="preserve">Acciones de Mitigación</w:t>
      </w:r>
    </w:p>
    <w:p>
      <w:pPr>
        <w:pStyle w:val="FirstParagraph"/>
      </w:pPr>
      <w:r>
        <w:t xml:space="preserve">Informar a la PGN de las implicaciones junto con alternativas para la implementación de la acción de aprovechamiento: diseño del SCM central (sharepoint). La PGN debe decidir si o no a la acción propuesta.</w:t>
      </w:r>
    </w:p>
    <w:p>
      <w:pPr>
        <w:pStyle w:val="BodyText"/>
      </w:pPr>
      <w:r>
        <w:t xml:space="preserve">Informar a la PGN de las implicaciones junto con alternativas para la implementación de la acción de aprovechamiento: diseño del motor de búsqueda compartido (sharepoint). La PGN debe decidir si o no a la acción propuesta.</w:t>
      </w:r>
    </w:p>
    <w:p>
      <w:pPr>
        <w:pStyle w:val="BodyText"/>
      </w:pPr>
      <w:r>
        <w:t xml:space="preserve">Informar a la PGN de las implicaciones junto con alternativas para la implementación de la acción de manejo del riesgo: diseño de solución de inteligencia de negocio (Power BI). La PGN debe decidir si o no a la acción propuesta.</w:t>
      </w:r>
    </w:p>
    <w:p>
      <w:pPr>
        <w:pStyle w:val="BodyText"/>
      </w:pPr>
      <w:r>
        <w:t xml:space="preserve">Informar a la PGN de las implicaciones junto con alternativas para la implementación de la acción de manejo del riesgo: ubicar la lógica, los flujos, y los datos misionales dentro del SIU. La PGN debe decidir si o no a la acción propuesta.</w:t>
      </w:r>
    </w:p>
    <w:p>
      <w:pPr>
        <w:pStyle w:val="BodyText"/>
      </w:pPr>
      <w:r>
        <w:t xml:space="preserve">Informar a la PGN de las implicaciones junto con alternativas para la implementación de la acción de manejo del riesgo: facilitar la administración de seguridad en un solo lugar (distinto de localizarla en las aplicaciones web). La PGN debe decidir si o no a la acción propuesta.</w:t>
      </w:r>
    </w:p>
    <w:bookmarkEnd w:id="24"/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RSG1. Estrategia CMS central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Establecer desde el principio el gestor de contenidos compartido que los módulos del SUI migrados van a usar.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RSG2. Motor de búsqueda compartido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Establecer desde el principio el motor de búsqueda de conteidos compartido para los módulos del SUI migrados.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RSG3. Estatego como BI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Definir la arquitectura de Estratego migrado: puede ser una solución de BI simple, o puede ser una aplicación web tradicional.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RSG4. Conciliación sin Doku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Definir la ubicación de los componentes misionales de Conciliación Administrativa (SIU). Debe estar fuera de Doku.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RSG5. Gestión de sesiones / caducidad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Establecer desde el principio el motor de búsqueda de conteidos compartido para los módulos del SUI migrados.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Riesgos Migración Funcional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2023-09-13T17:46:54Z</dcterms:created>
  <dcterms:modified xsi:type="dcterms:W3CDTF">2023-09-13T17:46:54Z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