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p>
      <w:pPr>
        <w:numPr>
          <w:ilvl w:val="0"/>
          <w:numId w:val="1001"/>
        </w:numPr>
        <w:pStyle w:val="Compact"/>
      </w:pPr>
      <w:r>
        <w:t xml:space="preserve">RSG6. Componentes de negocio</w:t>
      </w:r>
    </w:p>
    <w:p>
      <w:pPr>
        <w:numPr>
          <w:ilvl w:val="0"/>
          <w:numId w:val="1001"/>
        </w:numPr>
        <w:pStyle w:val="Compact"/>
      </w:pPr>
      <w:r>
        <w:t xml:space="preserve">RSG7. Asignación de roles y permisos de Acceso</w:t>
      </w:r>
    </w:p>
    <w:p>
      <w:pPr>
        <w:numPr>
          <w:ilvl w:val="0"/>
          <w:numId w:val="1001"/>
        </w:numPr>
        <w:pStyle w:val="Compact"/>
      </w:pPr>
      <w:r>
        <w:t xml:space="preserve">RSG8. Intentos de accesos no autorizados</w:t>
      </w:r>
    </w:p>
    <w:p>
      <w:pPr>
        <w:numPr>
          <w:ilvl w:val="0"/>
          <w:numId w:val="1001"/>
        </w:numPr>
        <w:pStyle w:val="Compact"/>
      </w:pPr>
      <w:r>
        <w:t xml:space="preserve">RSG9. Alteración de datos negocio</w:t>
      </w:r>
    </w:p>
    <w:p>
      <w:pPr>
        <w:numPr>
          <w:ilvl w:val="0"/>
          <w:numId w:val="1001"/>
        </w:numPr>
        <w:pStyle w:val="Compact"/>
      </w:pPr>
      <w:r>
        <w:t xml:space="preserve">RSG10. Validación decisiones de arquitectura</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2023-10-21T18:01:44Z</dcterms:created>
  <dcterms:modified xsi:type="dcterms:W3CDTF">2023-10-21T18:01:44Z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