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SUI</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SUI.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SUI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SUI</w:t>
            </w:r>
          </w:p>
        </w:tc>
        <w:tc>
          <w:tcPr/>
          <w:p>
            <w:pPr>
              <w:pStyle w:val="Compact"/>
              <w:jc w:val="left"/>
            </w:pPr>
            <w:r>
              <w:t xml:space="preserve">constraint</w:t>
            </w:r>
          </w:p>
        </w:tc>
        <w:tc>
          <w:tcPr/>
          <w:p>
            <w:pPr>
              <w:pStyle w:val="Compact"/>
              <w:jc w:val="left"/>
            </w:pPr>
            <w:r>
              <w:t xml:space="preserve">Definir la opción de organización y distribución de los almacenes de datos del SUI.</w:t>
            </w:r>
            <w:r>
              <w:t xml:space="preserve"> </w:t>
            </w:r>
            <w:r>
              <w:t xml:space="preserve">opc1. Dispositivo físico/virtual (nodo, servidor, y esquema de base de datos) único, central, a todos los módulos del SUI.</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SUI migrado (aplicable a todos los módulos del SUI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(SUI).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2023-11-29T19:09:32Z</dcterms:created>
  <dcterms:modified xsi:type="dcterms:W3CDTF">2023-11-29T19:09:32Z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