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110905"/>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110905"/>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p>
      <w:pPr>
        <w:numPr>
          <w:ilvl w:val="0"/>
          <w:numId w:val="1001"/>
        </w:numPr>
        <w:pStyle w:val="Compact"/>
      </w:pPr>
      <w:r>
        <w:t xml:space="preserve">RSG11. Estrategias de Migración de datos</w:t>
      </w:r>
    </w:p>
    <w:p>
      <w:pPr>
        <w:numPr>
          <w:ilvl w:val="0"/>
          <w:numId w:val="1001"/>
        </w:numPr>
        <w:pStyle w:val="Compact"/>
      </w:pPr>
      <w:r>
        <w:t xml:space="preserve">RSG12. Arquitectura de almancenamiento y distribución de datos SIU</w:t>
      </w:r>
    </w:p>
    <w:p>
      <w:pPr>
        <w:numPr>
          <w:ilvl w:val="0"/>
          <w:numId w:val="1001"/>
        </w:numPr>
        <w:pStyle w:val="Compact"/>
      </w:pPr>
      <w:r>
        <w:t xml:space="preserve">RSG13. Sistema de autenticación híbrido</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SIU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RSG12. Arquitectura de almancenamiento y distribución de datos SIU</w:t>
            </w:r>
          </w:p>
        </w:tc>
        <w:tc>
          <w:tcPr/>
          <w:p>
            <w:pPr>
              <w:pStyle w:val="Compact"/>
              <w:jc w:val="left"/>
            </w:pPr>
            <w:r>
              <w:t xml:space="preserve">constraint</w:t>
            </w:r>
          </w:p>
        </w:tc>
        <w:tc>
          <w:tcPr/>
          <w:p>
            <w:pPr>
              <w:pStyle w:val="Compact"/>
              <w:jc w:val="left"/>
            </w:pPr>
            <w:r>
              <w:t xml:space="preserve">Definir la opción de organización y distribución de los almacenes de datos del SIU.</w:t>
            </w:r>
            <w:r>
              <w:t xml:space="preserve"> </w:t>
            </w:r>
            <w:r>
              <w:t xml:space="preserve">opc1. Dispositivo físico/virtual (nodo, servidor, y esquema de base de datos) único, central, a todos los módulos del SIU.</w:t>
            </w:r>
            <w:r>
              <w:t xml:space="preserve">opc2. Dispositivos virtuales autónomos por dominio de negocio: rlatoría, inventario, información estratégica, intercomunicados.</w:t>
            </w:r>
          </w:p>
        </w:tc>
        <w:tc>
          <w:tcPr/>
          <w:p>
            <w:pPr>
              <w:pStyle w:val="Compact"/>
            </w:pPr>
          </w:p>
        </w:tc>
      </w:tr>
      <w:tr>
        <w:tc>
          <w:tcPr/>
          <w:p>
            <w:pPr>
              <w:pStyle w:val="Compact"/>
              <w:jc w:val="left"/>
            </w:pPr>
            <w:r>
              <w:rPr>
                <w:bCs/>
                <w:b/>
              </w:rPr>
              <w:t xml:space="preserve">RSG13. Sistema de autenticación híbrido</w:t>
            </w:r>
          </w:p>
        </w:tc>
        <w:tc>
          <w:tcPr/>
          <w:p>
            <w:pPr>
              <w:pStyle w:val="Compact"/>
              <w:jc w:val="left"/>
            </w:pPr>
            <w:r>
              <w:t xml:space="preserve">constraint</w:t>
            </w:r>
          </w:p>
        </w:tc>
        <w:tc>
          <w:tcPr/>
          <w:p>
            <w:pPr>
              <w:pStyle w:val="Compact"/>
              <w:jc w:val="left"/>
            </w:pPr>
            <w:r>
              <w:t xml:space="preserve">Definir la estrategia de autenticación del SIU migrado (aplicable a todos los módulos del SIU migrado).</w:t>
            </w:r>
            <w:r>
              <w:t xml:space="preserve">opc1. Híbrida: integrado, directorio empresarial (LDAP), y servicios de autenticación de confianza: Office 365 de PGN.</w:t>
            </w:r>
            <w:r>
              <w:t xml:space="preserve">opc2. Servicio de autenticación de confianza: Office 365 de PGN.</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2023-11-08T18:04:44Z</dcterms:created>
  <dcterms:modified xsi:type="dcterms:W3CDTF">2023-11-08T18:04:44Z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