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riesgos.2.-modelo-riesgo-rsg10"/>
    <w:p>
      <w:pPr>
        <w:pStyle w:val="Heading2"/>
      </w:pPr>
      <w:r>
        <w:t xml:space="preserve">Riesgos.2. Modelo Riesgo RSG10</w:t>
      </w:r>
    </w:p>
    <w:bookmarkStart w:id="0" w:name="fig:Riesgos.2.ModeloRiesgoRSG10"/>
    <w:p>
      <w:pPr>
        <w:pStyle w:val="CaptionedFigure"/>
      </w:pPr>
      <w:bookmarkStart w:id="23" w:name="fig:Riesgos.2.ModeloRiesgoRSG10"/>
      <w:r>
        <w:drawing>
          <wp:inline>
            <wp:extent cx="5943600" cy="6154287"/>
            <wp:effectExtent b="0" l="0" r="0" t="0"/>
            <wp:docPr descr="Figure 1: Diagram: Riesgos.2. Modelo Riesgo RSG10" title="" id="21" name="Picture"/>
            <a:graphic>
              <a:graphicData uri="http://schemas.openxmlformats.org/drawingml/2006/picture">
                <pic:pic>
                  <pic:nvPicPr>
                    <pic:cNvPr descr="images/Riesgos.2.ModeloRiesgoRSG10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154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Riesgos.2. Modelo Riesgo RSG10</w:t>
      </w:r>
    </w:p>
    <w:bookmarkEnd w:id="0"/>
    <w:p>
      <w:pPr>
        <w:pStyle w:val="BodyText"/>
      </w:pPr>
      <w:r>
        <w:t xml:space="preserve">Para mitigar el riesgo 10, RSG10. Validación decisiones de arquitectura, que tiene como agente de riesgo a los arquitectos del contratista, Softgic, y al de la entidad, PGN, es necesario iniciar un proceso de evaluación y aprobación de la arquitectura. La frecuencia de este proceso será eventual, y como mínimo una vez cada dos semanas.</w:t>
      </w:r>
    </w:p>
    <w:bookmarkStart w:id="25" w:name="valoración-del-riesgo"/>
    <w:p>
      <w:pPr>
        <w:pStyle w:val="Heading3"/>
      </w:pPr>
      <w:r>
        <w:t xml:space="preserve">Valoración del Riesgo</w:t>
      </w:r>
    </w:p>
    <w:bookmarkStart w:id="0" w:name="tbl:requisito1-id"/>
    <w:bookmarkStart w:id="24" w:name="tbl:requisito1-id"/>
    <w:p>
      <w:pPr>
        <w:pStyle w:val="TableCaption"/>
      </w:pPr>
      <w:r>
        <w:t xml:space="preserve">Table 1: Valoración del riesgo RSG10. Validación decisiones de arquitectura. Migración SUI.</w:t>
      </w:r>
      <w:r>
        <w:t xml:space="preserve"> 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Table 1: Valoración del riesgo RSG10. Validación decisiones de arquitectura. Migración SUI. "/>
      </w:tblPr>
      <w:tblGrid>
        <w:gridCol w:w="3360"/>
        <w:gridCol w:w="45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Requisito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Extensibilidad SUI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Descripción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Concentración de los componentes de negocio, misionales, del SUI protegidos de cambios provenientes de otros sistemas. Ver Patrón de Diseño Migración SUI, más adelante en el documento.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Calidad sistémica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extensibilidad que optimiza el diseño Migración SUI está dada por el intercambio de submódulos no misionales, como el gestor documental, sin afectación de los componentes misionales que este diseño protege.</w:t>
            </w:r>
          </w:p>
        </w:tc>
      </w:tr>
    </w:tbl>
    <w:bookmarkEnd w:id="24"/>
    <w:bookmarkEnd w:id="0"/>
    <w:bookmarkEnd w:id="25"/>
    <w:bookmarkStart w:id="26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Impacto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assessment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PGN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PGN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Agente de riesgo Softgic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Arquitecto Softgic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Desconocimiento arq.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business-event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RSG10. Validación decisiones de arquitectura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constraint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Discutir la arquitectura de referencia de SUI Migración PGN. La arquitectura de referencia SUI informa de todas las fortalezas y consideraciones estructurales y de sistema, como extensibilidad, rendimiento y seguridad, que regirán a todos los módulos del SUI migrado.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Evaluación arquitectura de referencia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course-of-action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 frecuencia del proceso de evaluación de la arquitectura es eventual, mínimo una vez cada dos semanas.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Definición tipos de datos módulos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Supervisor contrato 078-2023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stakeholder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bookmarkEnd w:id="26"/>
    <w:bookmarkEnd w:id="27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2024-05-29T16:25:25Z</dcterms:created>
  <dcterms:modified xsi:type="dcterms:W3CDTF">2024-05-29T16:25:25Z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