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eguridad.-linebase.2.portal"/>
    <w:p>
      <w:pPr>
        <w:pStyle w:val="Heading2"/>
      </w:pPr>
      <w:r>
        <w:t xml:space="preserve">Seguridad. Linebase.2.Portal</w:t>
      </w:r>
    </w:p>
    <w:bookmarkStart w:id="0" w:name="fig:Seguridad.Linebase.2.Portal"/>
    <w:p>
      <w:pPr>
        <w:pStyle w:val="CaptionedFigure"/>
      </w:pPr>
      <w:bookmarkStart w:id="23" w:name="fig:Seguridad.Linebase.2.Portal"/>
      <w:r>
        <w:drawing>
          <wp:inline>
            <wp:extent cx="5943600" cy="2255821"/>
            <wp:effectExtent b="0" l="0" r="0" t="0"/>
            <wp:docPr descr="Figure 1: Diagram: Seguridad. Linebase.2.Portal" title="" id="21" name="Picture"/>
            <a:graphic>
              <a:graphicData uri="http://schemas.openxmlformats.org/drawingml/2006/picture">
                <pic:pic>
                  <pic:nvPicPr>
                    <pic:cNvPr descr="images/Seguridad.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5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Seguridad.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acceso.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proteccion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riesgos de protección.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MFA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inicio de sesión.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2023-10-17T02:46:02Z</dcterms:created>
  <dcterms:modified xsi:type="dcterms:W3CDTF">2023-10-17T02:46:02Z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