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  <w:r>
        <w:t xml:space="preserve"> </w:t>
      </w:r>
      <w:r>
        <w:t xml:space="preserve">k</w:t>
      </w:r>
      <w:r>
        <w:t xml:space="preserve"> 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1.0902742 de 21 Oct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21 Oct 2023</w:t>
      </w:r>
    </w:p>
    <w:p>
      <w:r>
        <w:br w:type="page"/>
      </w:r>
    </w:p>
    <w:bookmarkStart w:id="23" w:name="X6f150b59ffca561730ad4358c2e9fbb8513ecb5"/>
    <w:p>
      <w:pPr>
        <w:pStyle w:val="Heading1"/>
      </w:pPr>
      <w:r>
        <w:t xml:space="preserve">Documento de Descripción de Entidades de Datos.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SUI, Fase 2, de la Procuraduría General de la Nación (PGN en adelante), Contrato 078-2023. El principal propósito de este documento es informar de las decisiones sobre la disposición lógica y física de las componentes de datos relevantes a la arquitectura del sistema SUI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1.0902742 del 21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2023-10-21T19:00:51Z</dcterms:created>
  <dcterms:modified xsi:type="dcterms:W3CDTF">2023-10-21T19:00:51Z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