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Mi Mutual, y por tanto, a considerar en el ejercicio de arquitectura del presente proyecto.</w:t>
      </w:r>
    </w:p>
    <w:p>
      <w:pPr>
        <w:pStyle w:val="Textoindependiente"/>
      </w:pPr>
      <w:r>
        <w:t xml:space="preserve">Lista de restricciones de Mi Mutual, 2023.</w:t>
      </w:r>
    </w:p>
    <w:p>
      <w:pPr>
        <w:numPr>
          <w:ilvl w:val="0"/>
          <w:numId w:val="1001"/>
        </w:numPr>
        <w:pStyle w:val="Compact"/>
      </w:pPr>
      <w:r>
        <w:t xml:space="preserve">Disponibilidad. Se requiere que el sistema esté disponible 7x24,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2023-10-25T18:51:20Z</dcterms:created>
  <dcterms:modified xsi:type="dcterms:W3CDTF">2023-10-25T18:51:20Z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