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Heading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3d7f2db2f7347509c3095a87fbdc64c55e61ed6">
        <w:r>
          <w:rPr>
            <w:rStyle w:val="Hyperlink"/>
          </w:rPr>
          <w:t xml:space="preserve">Descripción de Entidades de Datos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258a983bcdfb792918937e18e33de5117fbe8d1"/>
    <w:p>
      <w:pPr>
        <w:pStyle w:val="Heading1"/>
      </w:pPr>
      <w:r>
        <w:t xml:space="preserve">Descripción de Entidades de Datos Migración Mi Mutual PGN</w:t>
      </w:r>
    </w:p>
    <w:bookmarkStart w:id="23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BodyText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BodyText"/>
      </w:pPr>
      <w:r>
        <w:t xml:space="preserve">Identificación de entidades de datos de negocio relacionadas al módulo de gestión de capital del Mi Mutual, Hominis.</w:t>
      </w:r>
    </w:p>
    <w:p>
      <w:pPr>
        <w:pStyle w:val="BodyText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Mi Mutual, Control Interno.</w:t>
      </w:r>
    </w:p>
    <w:p>
      <w:pPr>
        <w:pStyle w:val="BodyText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BodyText"/>
      </w:pPr>
      <w:r>
        <w:t xml:space="preserve">Identificación de entidades de datos de negocio relacionadas al módulo del Mi Mutual, SIRI.</w:t>
      </w:r>
    </w:p>
    <w:p>
      <w:pPr>
        <w:pStyle w:val="BodyText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BodyText"/>
      </w:pPr>
      <w:r>
        <w:t xml:space="preserve">Identificación de entidades de datos de negocio relacionadas al módulo de Mi Mutual, SIM.</w:t>
      </w:r>
    </w:p>
    <w:p>
      <w:pPr>
        <w:pStyle w:val="BodyText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2023-10-09T17:35:48Z</dcterms:created>
  <dcterms:modified xsi:type="dcterms:W3CDTF">2023-10-09T17:35:48Z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