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45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6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33" w:name="fig:Migracion.2c.datosControlinterno"/>
      <w:r>
        <w:t xml:space="preserve">Figure 3: Diagram: Migracion.2c. datos Control interno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4"/>
    <w:bookmarkEnd w:id="35"/>
    <w:bookmarkStart w:id="41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39" w:name="fig:Migracion.2d.datosSIRI"/>
      <w:r>
        <w:drawing>
          <wp:inline>
            <wp:extent cx="5600700" cy="3022807"/>
            <wp:effectExtent b="0" l="0" r="0" t="0"/>
            <wp:docPr descr="Figure 4: Diagram: Migracion.2d. datos SIRI" title="" id="37" name="Picture"/>
            <a:graphic>
              <a:graphicData uri="http://schemas.openxmlformats.org/drawingml/2006/picture">
                <pic:pic>
                  <pic:nvPicPr>
                    <pic:cNvPr descr="images/Migracion.2d.datosSIRI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22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0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0"/>
    <w:bookmarkEnd w:id="41"/>
    <w:bookmarkStart w:id="44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42" w:name="fig:Migracion.2b.datosSIM"/>
      <w:r>
        <w:t xml:space="preserve">Figure 5: Diagram: Migracion.2b. datos SIM</w:t>
      </w:r>
      <w:bookmarkEnd w:id="42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3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43"/>
    <w:bookmarkEnd w:id="44"/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2023-11-07T15:29:56Z</dcterms:created>
  <dcterms:modified xsi:type="dcterms:W3CDTF">2023-11-07T15:29:56Z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