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45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6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33" w:name="fig:Migracion.2c.datosControlinterno"/>
      <w:r>
        <w:t xml:space="preserve">Figure 3: Diagram: Migracion.2c. datos Control interno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4"/>
    <w:bookmarkEnd w:id="35"/>
    <w:bookmarkStart w:id="41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39" w:name="fig:Migracion.2d.datosSIRI"/>
      <w:r>
        <w:drawing>
          <wp:inline>
            <wp:extent cx="5600700" cy="3022807"/>
            <wp:effectExtent b="0" l="0" r="0" t="0"/>
            <wp:docPr descr="Figure 4: Diagram: Migracion.2d. datos SIRI" title="" id="37" name="Picture"/>
            <a:graphic>
              <a:graphicData uri="http://schemas.openxmlformats.org/drawingml/2006/picture">
                <pic:pic>
                  <pic:nvPicPr>
                    <pic:cNvPr descr="images/Migracion.2d.datosSIRI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22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0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0"/>
    <w:bookmarkEnd w:id="41"/>
    <w:bookmarkStart w:id="44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42" w:name="fig:Migracion.2b.datosSIM"/>
      <w:r>
        <w:t xml:space="preserve">Figure 5: Diagram: Migracion.2b. datos SIM</w:t>
      </w:r>
      <w:bookmarkEnd w:id="42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3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43"/>
    <w:bookmarkEnd w:id="44"/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2023-10-25T16:11:06Z</dcterms:created>
  <dcterms:modified xsi:type="dcterms:W3CDTF">2023-10-25T16:11:06Z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