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r>
        <w:br w:type="page"/>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1.e2a1658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bookmarkStart w:id="23" w:name="X30daf996f23f617b6a51d70f86dba0516fd58ea"/>
    <w:p>
      <w:pPr>
        <w:pStyle w:val="Ttulo1"/>
      </w:pPr>
      <w:r>
        <w:t xml:space="preserve">Documento de Descripción de Entidades de Datos. Cotizador Web Mi Mutual STEF - Coomeva</w:t>
      </w:r>
    </w:p>
    <w:bookmarkStart w:id="20" w:name="objetivo-del-documento"/>
    <w:p>
      <w:pPr>
        <w:pStyle w:val="Ttulo2"/>
      </w:pPr>
      <w:r>
        <w:t xml:space="preserve">Objetivo del Documento</w:t>
      </w:r>
    </w:p>
    <w:p>
      <w:pPr>
        <w:pStyle w:val="FirstParagraph"/>
      </w:pPr>
      <w:r>
        <w:t xml:space="preserve">Descripción de los productos de trabajo de la arquitectura de datos del proyecto Migración Cotizador Web Mi Mutual, Fase 2, de la Procuraduría General de la Nación (Coomeva en adelante), Contrato 078-2023. El principal propósito de este documento es informar de las decisiones sobre la disposición lógica y física de las componentes de datos relevantes a la arquitectura del sistema Cotizador Web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1.e2a1658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cp:keywords/>
  <dcterms:created xsi:type="dcterms:W3CDTF">2023-11-07T17:42:53Z</dcterms:created>
  <dcterms:modified xsi:type="dcterms:W3CDTF">2023-11-07T17:42:53Z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subtitle">
    <vt:lpwstr>Mi Mutual Coomeva - Mi Mutual, Sistema de Previsión, Asistencia y Solidaridad, Coomeva</vt:lpwstr>
  </property>
  <property fmtid="{D5CDD505-2E9C-101B-9397-08002B2CF9AE}" pid="12" name="tablenos-caption-name">
    <vt:lpwstr>Tabla</vt:lpwstr>
  </property>
</Properties>
</file>