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e42329486ef22e8cee75da0b2345b2fcf44293"/>
    <w:p>
      <w:pPr>
        <w:pStyle w:val="Ttulo1"/>
      </w:pPr>
      <w:r>
        <w:t xml:space="preserve">Documento de Arquitectura Infraestructura Cotizador Web Mi Mutual Coomeva</w:t>
      </w:r>
    </w:p>
    <w:p>
      <w:pPr>
        <w:numPr>
          <w:ilvl w:val="0"/>
          <w:numId w:val="1001"/>
        </w:numPr>
        <w:pStyle w:val="Compact"/>
      </w:pPr>
      <w:hyperlink w:anchor="X1a4050829f739b9c7dd14cb11b80fcaefa928c2">
        <w:r>
          <w:rPr>
            <w:rStyle w:val="Hipervnculo"/>
          </w:rPr>
          <w:t xml:space="preserve">Descripción de Infraestructura Migración Cotizador Web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d741ef91bca39d8da0c59e1a8cbb4bfd0220874"/>
    <w:p>
      <w:pPr>
        <w:pStyle w:val="Ttulo1"/>
      </w:pPr>
      <w:r>
        <w:t xml:space="preserve">Descripción de Infraestructura Migración Cotizador Web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Cotizador Web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Cotizador Web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Cotizador Web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Cotizador Web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Cotizador Web Mi Mutual Migración. Servidores y ambientes de cómputo para la ejecución del software base de los componentes misionales del Cotizador Web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Cotizador Web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Cotizador Web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Cotizador Web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Cotizador Web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2023-11-07T16:41:00Z</dcterms:created>
  <dcterms:modified xsi:type="dcterms:W3CDTF">2023-11-07T16:41:00Z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