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fe42329486ef22e8cee75da0b2345b2fcf44293"/>
    <w:p>
      <w:pPr>
        <w:pStyle w:val="Ttulo1"/>
      </w:pPr>
      <w:r>
        <w:t xml:space="preserve">Documento de Arquitectura Infraestructura Cotizador Web Mi Mutual Coomeva</w:t>
      </w:r>
    </w:p>
    <w:p>
      <w:pPr>
        <w:numPr>
          <w:ilvl w:val="0"/>
          <w:numId w:val="1001"/>
        </w:numPr>
        <w:pStyle w:val="Compact"/>
      </w:pPr>
      <w:hyperlink w:anchor="X1a4050829f739b9c7dd14cb11b80fcaefa928c2">
        <w:r>
          <w:rPr>
            <w:rStyle w:val="Hipervnculo"/>
          </w:rPr>
          <w:t xml:space="preserve">Descripción de Infraestructura Migración Cotizador Web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d741ef91bca39d8da0c59e1a8cbb4bfd0220874"/>
    <w:p>
      <w:pPr>
        <w:pStyle w:val="Ttulo1"/>
      </w:pPr>
      <w:r>
        <w:t xml:space="preserve">Descripción de Infraestructura Migración Cotizador Web Mi Mutual Coomeva</w:t>
      </w:r>
    </w:p>
    <w:bookmarkStart w:id="26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600700" cy="4516693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Textoindependiente"/>
      </w:pPr>
      <w:r>
        <w:t xml:space="preserve">Dependencias de infraestructura entre los servicios que integran el modelo de aplicación de Cotizador Web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Cotizador Web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Cotizador Web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Cotizador Web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Cotizador Web Mi Mutual Migración. Servidores y ambientes de cómputo para la ejecución del software base de los componentes misionales del Cotizador Web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Cotizador Web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Cotizador Web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600700" cy="3680336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Cotizador Web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Cotizador Web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2023-11-07T17:42:54Z</dcterms:created>
  <dcterms:modified xsi:type="dcterms:W3CDTF">2023-11-07T17:42:54Z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