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a855d99d77d7ea0896031efca385acd113bdb32"/>
    <w:p>
      <w:pPr>
        <w:pStyle w:val="Ttulo1"/>
      </w:pPr>
      <w:r>
        <w:t xml:space="preserve">Restricciones Principales de Arquitectura Cotizador Web Mi Mutual Central</w:t>
      </w:r>
    </w:p>
    <w:p>
      <w:pPr>
        <w:pStyle w:val="FirstParagraph"/>
      </w:pPr>
      <w:r>
        <w:t xml:space="preserve">Informamos de las restricciones que hacen parte de Cotizador Web Mi Mutual, y por tanto, a considerar en el ejercicio de arquitectura del presente proyecto.</w:t>
      </w:r>
    </w:p>
    <w:p>
      <w:pPr>
        <w:pStyle w:val="Textoindependiente"/>
      </w:pPr>
      <w:r>
        <w:t xml:space="preserve">Lista de restricciones de Cotizador Web Mi Mutual, 2023.</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2023-11-07T15:36:17Z</dcterms:created>
  <dcterms:modified xsi:type="dcterms:W3CDTF">2023-11-07T15:36:17Z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