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X52c1417b24d7c1a980987f230a8e2e357dc8a92"/>
    <w:p>
      <w:pPr>
        <w:pStyle w:val="Ttulo1"/>
      </w:pPr>
      <w:r>
        <w:t xml:space="preserve">Requisitos de Arquitectura Mi Mutual Central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 migración Mi Mutual, objeto de este proyecto, Mi Mutual Coomeva.</w:t>
      </w:r>
    </w:p>
    <w:p>
      <w:pPr>
        <w:pStyle w:val="Textoindependiente"/>
      </w:pPr>
      <w:r>
        <w:t xml:space="preserve">Definiremos estos requisitos de la solución a tener en cuenta al momento del desarrollo.</w:t>
      </w:r>
    </w:p>
    <w:bookmarkStart w:id="20" w:name="requerimientos-generales"/>
    <w:p>
      <w:pPr>
        <w:pStyle w:val="Ttulo2"/>
      </w:pPr>
      <w:r>
        <w:t xml:space="preserve">Requerimientos generales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Parametrización</w:t>
      </w:r>
      <w:r>
        <w:t xml:space="preserve">. Crear desarrollos parametrizables necesarios para permitir la administración de la información de uso general.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Interoperabilidad</w:t>
      </w:r>
      <w:r>
        <w:t xml:space="preserve">. Crear desarrollos de Mi Mutual interoperables con otros sistemas de información de la entidad según requerimientos de los procesos.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Diseño</w:t>
      </w:r>
      <w:r>
        <w:t xml:space="preserve">. Los desarrollos complementarios deben responder a los criterios de bajo acoplamiento y alta cohesión.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Reglas de negocio</w:t>
      </w:r>
      <w:r>
        <w:t xml:space="preserve">. Las soluciones deben disponer de todas las validaciones y controles que garanticen la calidad, seguridad y unicidad de la información.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aplique, la solución debe contar con una integración con el servicio de correo de la Entidad.</w:t>
      </w:r>
    </w:p>
    <w:p>
      <w:pPr>
        <w:numPr>
          <w:ilvl w:val="0"/>
          <w:numId w:val="1001"/>
        </w:numPr>
        <w:pStyle w:val="Compact"/>
      </w:pPr>
      <w:r>
        <w:t xml:space="preserve">Todos los desarrollos complementarios serán en su totalidad propiedad de la entidad, para lo cual la entidad podrá modificar y/o actualizar a futuro los procesos modelados, acorde a las necesidades; por tanto, deberán entregarse los derechos intelectuales y patrimoniales como parte de la documentación y el código fuente que corresponda.</w:t>
      </w:r>
    </w:p>
    <w:p>
      <w:r>
        <w:br w:type="page"/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2023-10-13T18:54:58Z</dcterms:created>
  <dcterms:modified xsi:type="dcterms:W3CDTF">2023-10-13T18:54:58Z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