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a5e11afb10325f31641e4241d3e4f0029cfa15"/>
    <w:p>
      <w:pPr>
        <w:pStyle w:val="Ttulo2"/>
      </w:pPr>
      <w:r>
        <w:t xml:space="preserve">Requisitos Particulares de Arquitectura Cotizador Web Mi Mutual Central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Migración Cotizador Web Mi Mutual, Consistencia.</w:t>
      </w:r>
      <w:r>
        <w:t xml:space="preserve"> </w:t>
      </w:r>
    </w:p>
    <w:tbl>
      <w:tblPr>
        <w:tblStyle w:val="Table"/>
        <w:tblW w:type="pct" w:w="5000"/>
        <w:tblLook w:firstRow="1" w:lastRow="0" w:firstColumn="0" w:lastColumn="0" w:noHBand="0" w:noVBand="0" w:val="0020"/>
        <w:tblCaption w:val="Table 1: Requisito no. 1, Migración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Cotizador Web Mi Mutual está dada por el control de cambios no programados sobre los componentes misionales del Cotizador Web Mi Mutual (corrupción de componentes). Ver Patrón de Diseño Migración Cotizador Web Mi Mutual, más adelante en el documento.</w:t>
            </w:r>
          </w:p>
        </w:tc>
      </w:tr>
    </w:tbl>
    <w:bookmarkEnd w:id="22"/>
    <w:bookmarkEnd w:id="0"/>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Migración Cotizador Web Mi Mutual, Flexibilidad.</w:t>
      </w:r>
      <w:r>
        <w:t xml:space="preserve"> </w:t>
      </w:r>
    </w:p>
    <w:tbl>
      <w:tblPr>
        <w:tblStyle w:val="Table"/>
        <w:tblW w:type="pct" w:w="5000"/>
        <w:tblLook w:firstRow="1" w:lastRow="0" w:firstColumn="0" w:lastColumn="0" w:noHBand="0" w:noVBand="0" w:val="0020"/>
        <w:tblCaption w:val="Table 3: Requisito no. 3, Migración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Migración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2023-10-13T19:55:33Z</dcterms:created>
  <dcterms:modified xsi:type="dcterms:W3CDTF">2023-10-13T19:55:33Z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