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1.2decfe6 de 17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17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STEF@2decfe6</w:t>
        </w:r>
      </w:hyperlink>
      <w:r>
        <w:t xml:space="preserve"> </w:t>
      </w:r>
      <w:r>
        <w:t xml:space="preserve">del October 17,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1.2decfe6 del 17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ea5e11afb10325f31641e4241d3e4f0029cfa15"/>
    <w:p>
      <w:pPr>
        <w:pStyle w:val="Ttulo2"/>
      </w:pPr>
      <w:r>
        <w:t xml:space="preserve">Requisitos Particulares de Arquitectura Cotizador Web Mi Mutual Central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Migración Cotizador Web Mi Mutual, Consistencia.</w:t>
      </w:r>
      <w:r>
        <w:t xml:space="preserve"> </w:t>
      </w:r>
    </w:p>
    <w:tbl>
      <w:tblPr>
        <w:tblStyle w:val="Table"/>
        <w:tblW w:type="pct" w:w="5000"/>
        <w:tblLook w:firstRow="1" w:lastRow="0" w:firstColumn="0" w:lastColumn="0" w:noHBand="0" w:noVBand="0" w:val="0020"/>
        <w:tblCaption w:val="Tabla 1: Requisito no. 1, Migración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Cotizador Web Mi Mutual está dada por el control de cambios no programados sobre los componentes misionales del Cotizador Web Mi Mutual (corrupción de componentes). Ver Patrón de Diseño Migración Cotizador Web Mi Mutual, más adelante en el documento.</w:t>
            </w:r>
          </w:p>
        </w:tc>
      </w:tr>
    </w:tbl>
    <w:bookmarkEnd w:id="36"/>
    <w:bookmarkEnd w:id="0"/>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Migración Cotizador Web Mi Mutual, Flexibilidad.</w:t>
      </w:r>
      <w:r>
        <w:t xml:space="preserve"> </w:t>
      </w:r>
    </w:p>
    <w:tbl>
      <w:tblPr>
        <w:tblStyle w:val="Table"/>
        <w:tblW w:type="pct" w:w="5000"/>
        <w:tblLook w:firstRow="1" w:lastRow="0" w:firstColumn="0" w:lastColumn="0" w:noHBand="0" w:noVBand="0" w:val="0020"/>
        <w:tblCaption w:val="Tabla 3: Requisito no. 3, Migración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Migración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arqcotizador.-1.-contexto">
        <w:r>
          <w:rPr>
            <w:rStyle w:val="Hipervnculo"/>
          </w:rPr>
          <w:t xml:space="preserve">ArqCotizador. 1. Contexto</w:t>
        </w:r>
      </w:hyperlink>
    </w:p>
    <w:p>
      <w:pPr>
        <w:numPr>
          <w:ilvl w:val="1"/>
          <w:numId w:val="1006"/>
        </w:numPr>
        <w:pStyle w:val="Compact"/>
      </w:pPr>
      <w:hyperlink w:anchor="arqcotizador.-2.-contenedores">
        <w:r>
          <w:rPr>
            <w:rStyle w:val="Hipervnculo"/>
          </w:rPr>
          <w:t xml:space="preserve">ArqCotizador. 2. Contenedores</w:t>
        </w:r>
      </w:hyperlink>
    </w:p>
    <w:p>
      <w:pPr>
        <w:numPr>
          <w:ilvl w:val="1"/>
          <w:numId w:val="1006"/>
        </w:numPr>
        <w:pStyle w:val="Compact"/>
      </w:pPr>
      <w:hyperlink w:anchor="arqcotizador.-4.-aplicación">
        <w:r>
          <w:rPr>
            <w:rStyle w:val="Hipervnculo"/>
          </w:rPr>
          <w:t xml:space="preserve">ArqCotizador. 4. Aplicación</w:t>
        </w:r>
      </w:hyperlink>
    </w:p>
    <w:p>
      <w:pPr>
        <w:numPr>
          <w:ilvl w:val="1"/>
          <w:numId w:val="1006"/>
        </w:numPr>
        <w:pStyle w:val="Compact"/>
      </w:pPr>
      <w:hyperlink w:anchor="arqcotizador.-4a.-aplicación.-servicios">
        <w:r>
          <w:rPr>
            <w:rStyle w:val="Hipervnculo"/>
          </w:rPr>
          <w:t xml:space="preserve">ArqCotizador. 4a. Aplicación. Servicios</w:t>
        </w:r>
      </w:hyperlink>
    </w:p>
    <w:p>
      <w:pPr>
        <w:numPr>
          <w:ilvl w:val="1"/>
          <w:numId w:val="1006"/>
        </w:numPr>
        <w:pStyle w:val="Compact"/>
      </w:pPr>
      <w:hyperlink w:anchor="arqcotizador.-4a.-dependencias">
        <w:r>
          <w:rPr>
            <w:rStyle w:val="Hipervnculo"/>
          </w:rPr>
          <w:t xml:space="preserve">ArqCotizador. 4a. Dependencias</w:t>
        </w:r>
      </w:hyperlink>
    </w:p>
    <w:p>
      <w:pPr>
        <w:numPr>
          <w:ilvl w:val="1"/>
          <w:numId w:val="1006"/>
        </w:numPr>
        <w:pStyle w:val="Compact"/>
      </w:pPr>
      <w:hyperlink w:anchor="arqcotizador.-5.-físico-despliegue">
        <w:r>
          <w:rPr>
            <w:rStyle w:val="Hipervnculo"/>
          </w:rPr>
          <w:t xml:space="preserve">ArqCotizador. 5. Físico (despliegue)</w:t>
        </w:r>
      </w:hyperlink>
    </w:p>
    <w:p>
      <w:pPr>
        <w:numPr>
          <w:ilvl w:val="1"/>
          <w:numId w:val="1006"/>
        </w:numPr>
        <w:pStyle w:val="Compact"/>
      </w:pPr>
      <w:hyperlink w:anchor="arqcotizador.-7.-datos.-negocio">
        <w:r>
          <w:rPr>
            <w:rStyle w:val="Hipervnculo"/>
          </w:rPr>
          <w:t xml:space="preserve">ArqCotizador. 7. Datos. Negocio</w:t>
        </w:r>
      </w:hyperlink>
    </w:p>
    <w:p>
      <w:r>
        <w:br w:type="page"/>
      </w:r>
    </w:p>
    <w:bookmarkEnd w:id="42"/>
    <w:bookmarkStart w:id="96" w:name="cotizador-web"/>
    <w:p>
      <w:pPr>
        <w:pStyle w:val="Ttulo1"/>
      </w:pPr>
      <w:r>
        <w:t xml:space="preserve">Cotizador Web</w:t>
      </w:r>
    </w:p>
    <w:bookmarkStart w:id="51" w:name="arqcotizador.-1.-contexto"/>
    <w:p>
      <w:pPr>
        <w:pStyle w:val="Ttulo2"/>
      </w:pPr>
      <w:r>
        <w:t xml:space="preserve">ArqCotizador. 1. Contexto</w:t>
      </w:r>
    </w:p>
    <w:bookmarkStart w:id="0" w:name="fig:ArqCotizador.1.Contexto"/>
    <w:p>
      <w:pPr>
        <w:pStyle w:val="CaptionedFigure"/>
      </w:pPr>
      <w:bookmarkStart w:id="46" w:name="fig:ArqCotizador.1.Contexto"/>
      <w:r>
        <w:drawing>
          <wp:inline>
            <wp:extent cx="5600700" cy="2613995"/>
            <wp:effectExtent b="0" l="0" r="0" t="0"/>
            <wp:docPr descr="Imagen 1: Diagram: ArqCotizador. 1. Contexto" title="" id="44" name="Picture"/>
            <a:graphic>
              <a:graphicData uri="http://schemas.openxmlformats.org/drawingml/2006/picture">
                <pic:pic>
                  <pic:nvPicPr>
                    <pic:cNvPr descr="images/ArqCotizador.1.Contexto.png" id="45" name="Picture"/>
                    <pic:cNvPicPr>
                      <a:picLocks noChangeArrowheads="1" noChangeAspect="1"/>
                    </pic:cNvPicPr>
                  </pic:nvPicPr>
                  <pic:blipFill>
                    <a:blip r:embed="rId43"/>
                    <a:stretch>
                      <a:fillRect/>
                    </a:stretch>
                  </pic:blipFill>
                  <pic:spPr bwMode="auto">
                    <a:xfrm>
                      <a:off x="0" y="0"/>
                      <a:ext cx="5600700" cy="2613995"/>
                    </a:xfrm>
                    <a:prstGeom prst="rect">
                      <a:avLst/>
                    </a:prstGeom>
                    <a:noFill/>
                    <a:ln w="9525">
                      <a:noFill/>
                      <a:headEnd/>
                      <a:tailEnd/>
                    </a:ln>
                  </pic:spPr>
                </pic:pic>
              </a:graphicData>
            </a:graphic>
          </wp:inline>
        </w:drawing>
      </w:r>
      <w:bookmarkEnd w:id="46"/>
    </w:p>
    <w:p>
      <w:pPr>
        <w:pStyle w:val="ImageCaption"/>
      </w:pPr>
      <w:r>
        <w:t xml:space="preserve">Imagen 1: Diagram: ArqCotizador.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50"/>
    <w:bookmarkEnd w:id="51"/>
    <w:bookmarkStart w:id="57" w:name="arqcotizador.-2.-contenedores"/>
    <w:p>
      <w:pPr>
        <w:pStyle w:val="Ttulo2"/>
      </w:pPr>
      <w:r>
        <w:t xml:space="preserve">ArqCotizador. 2. Contenedores</w:t>
      </w:r>
    </w:p>
    <w:bookmarkStart w:id="0" w:name="fig:ArqCotizador.2.Contenedores"/>
    <w:p>
      <w:pPr>
        <w:pStyle w:val="CaptionedFigure"/>
      </w:pPr>
      <w:bookmarkStart w:id="55" w:name="fig:ArqCotizador.2.Contenedores"/>
      <w:r>
        <w:drawing>
          <wp:inline>
            <wp:extent cx="5600700" cy="3957720"/>
            <wp:effectExtent b="0" l="0" r="0" t="0"/>
            <wp:docPr descr="Imagen 2: Diagram: ArqCotizador. 2. Contenedores" title="" id="53" name="Picture"/>
            <a:graphic>
              <a:graphicData uri="http://schemas.openxmlformats.org/drawingml/2006/picture">
                <pic:pic>
                  <pic:nvPicPr>
                    <pic:cNvPr descr="images/Arq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ArqCotizador.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56"/>
    <w:bookmarkEnd w:id="57"/>
    <w:bookmarkStart w:id="63" w:name="arqcotizador.-4.-aplicación"/>
    <w:p>
      <w:pPr>
        <w:pStyle w:val="Ttulo2"/>
      </w:pPr>
      <w:r>
        <w:t xml:space="preserve">ArqCotizador. 4. Aplicación</w:t>
      </w:r>
    </w:p>
    <w:bookmarkStart w:id="0" w:name="fig:ArqCotizador.4.Aplicación"/>
    <w:p>
      <w:pPr>
        <w:pStyle w:val="CaptionedFigure"/>
      </w:pPr>
      <w:bookmarkStart w:id="61" w:name="fig:ArqCotizador.4.Aplicación"/>
      <w:r>
        <w:drawing>
          <wp:inline>
            <wp:extent cx="5600700" cy="4790200"/>
            <wp:effectExtent b="0" l="0" r="0" t="0"/>
            <wp:docPr descr="Imagen 3: Diagram: ArqCotizador. 4. Aplicación" title="" id="59" name="Picture"/>
            <a:graphic>
              <a:graphicData uri="http://schemas.openxmlformats.org/drawingml/2006/picture">
                <pic:pic>
                  <pic:nvPicPr>
                    <pic:cNvPr descr="images/ArqCotizador.4.Aplicación.png" id="60" name="Picture"/>
                    <pic:cNvPicPr>
                      <a:picLocks noChangeArrowheads="1" noChangeAspect="1"/>
                    </pic:cNvPicPr>
                  </pic:nvPicPr>
                  <pic:blipFill>
                    <a:blip r:embed="rId58"/>
                    <a:stretch>
                      <a:fillRect/>
                    </a:stretch>
                  </pic:blipFill>
                  <pic:spPr bwMode="auto">
                    <a:xfrm>
                      <a:off x="0" y="0"/>
                      <a:ext cx="5600700" cy="4790200"/>
                    </a:xfrm>
                    <a:prstGeom prst="rect">
                      <a:avLst/>
                    </a:prstGeom>
                    <a:noFill/>
                    <a:ln w="9525">
                      <a:noFill/>
                      <a:headEnd/>
                      <a:tailEnd/>
                    </a:ln>
                  </pic:spPr>
                </pic:pic>
              </a:graphicData>
            </a:graphic>
          </wp:inline>
        </w:drawing>
      </w:r>
      <w:bookmarkEnd w:id="61"/>
    </w:p>
    <w:p>
      <w:pPr>
        <w:pStyle w:val="ImageCaption"/>
      </w:pPr>
      <w:r>
        <w:t xml:space="preserve">Imagen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2"/>
    <w:bookmarkEnd w:id="63"/>
    <w:bookmarkStart w:id="69" w:name="arqcotizador.-4a.-aplicación.-servicios"/>
    <w:p>
      <w:pPr>
        <w:pStyle w:val="Ttulo2"/>
      </w:pPr>
      <w:r>
        <w:t xml:space="preserve">ArqCotizador. 4a. Aplicación. Servicios</w:t>
      </w:r>
    </w:p>
    <w:bookmarkStart w:id="0" w:name="fig:ArqCotizador.4a.Aplicación.Servicios"/>
    <w:p>
      <w:pPr>
        <w:pStyle w:val="CaptionedFigure"/>
      </w:pPr>
      <w:bookmarkStart w:id="67" w:name="fig:ArqCotizador.4a.Aplicación.Servicios"/>
      <w:r>
        <w:drawing>
          <wp:inline>
            <wp:extent cx="5600700" cy="6034931"/>
            <wp:effectExtent b="0" l="0" r="0" t="0"/>
            <wp:docPr descr="Imagen 4: Diagram: ArqCotizador. 4a. Aplicación. Servicios" title="" id="65" name="Picture"/>
            <a:graphic>
              <a:graphicData uri="http://schemas.openxmlformats.org/drawingml/2006/picture">
                <pic:pic>
                  <pic:nvPicPr>
                    <pic:cNvPr descr="images/Arq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ArqCotizador.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68"/>
    <w:bookmarkEnd w:id="69"/>
    <w:bookmarkStart w:id="78" w:name="arqcotizador.-4a.-dependencias"/>
    <w:p>
      <w:pPr>
        <w:pStyle w:val="Ttulo2"/>
      </w:pPr>
      <w:r>
        <w:t xml:space="preserve">ArqCotizador. 4a. Dependencias</w:t>
      </w:r>
    </w:p>
    <w:bookmarkStart w:id="0" w:name="fig:ArqCotizador.4a.Dependencias"/>
    <w:p>
      <w:pPr>
        <w:pStyle w:val="CaptionedFigure"/>
      </w:pPr>
      <w:bookmarkStart w:id="73" w:name="fig:ArqCotizador.4a.Dependencias"/>
      <w:r>
        <w:drawing>
          <wp:inline>
            <wp:extent cx="5600700" cy="4922805"/>
            <wp:effectExtent b="0" l="0" r="0" t="0"/>
            <wp:docPr descr="Imagen 5: Diagram: ArqCotizador. 4a. Dependencias" title="" id="71" name="Picture"/>
            <a:graphic>
              <a:graphicData uri="http://schemas.openxmlformats.org/drawingml/2006/picture">
                <pic:pic>
                  <pic:nvPicPr>
                    <pic:cNvPr descr="images/Arq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ArqCotizador.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77"/>
    <w:bookmarkEnd w:id="78"/>
    <w:bookmarkStart w:id="86" w:name="arqcotizador.-5.-físico-despliegue"/>
    <w:p>
      <w:pPr>
        <w:pStyle w:val="Ttulo2"/>
      </w:pPr>
      <w:r>
        <w:t xml:space="preserve">ArqCotizador. 5. Físico (despliegue)</w:t>
      </w:r>
    </w:p>
    <w:bookmarkStart w:id="0" w:name="fig:ArqCotizador.5.Físico(despliegue)"/>
    <w:p>
      <w:pPr>
        <w:pStyle w:val="CaptionedFigure"/>
      </w:pPr>
      <w:bookmarkStart w:id="82" w:name="fig:ArqCotizador.5.Físico(despliegue)"/>
      <w:r>
        <w:drawing>
          <wp:inline>
            <wp:extent cx="5600700" cy="6132016"/>
            <wp:effectExtent b="0" l="0" r="0" t="0"/>
            <wp:docPr descr="Imagen 6: Diagram: ArqCotizador. 5. Físico (despliegue)" title="" id="80" name="Picture"/>
            <a:graphic>
              <a:graphicData uri="http://schemas.openxmlformats.org/drawingml/2006/picture">
                <pic:pic>
                  <pic:nvPicPr>
                    <pic:cNvPr descr="images/Arq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ArqCotizador.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10"/>
        </w:numPr>
        <w:pStyle w:val="Compact"/>
      </w:pPr>
      <w:r>
        <w:t xml:space="preserve">Angular 9.1.12 o superior.</w:t>
      </w:r>
    </w:p>
    <w:p>
      <w:pPr>
        <w:pStyle w:val="FirstParagraph"/>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85"/>
    <w:bookmarkEnd w:id="86"/>
    <w:bookmarkStart w:id="93" w:name="arqcotizador.-7.-datos.-negocio"/>
    <w:p>
      <w:pPr>
        <w:pStyle w:val="Ttulo2"/>
      </w:pPr>
      <w:r>
        <w:t xml:space="preserve">ArqCotizador. 7. Datos. Negocio</w:t>
      </w:r>
    </w:p>
    <w:bookmarkStart w:id="0" w:name="fig:ArqCotizador.7.Datos.Negocio"/>
    <w:p>
      <w:pPr>
        <w:pStyle w:val="CaptionedFigure"/>
      </w:pPr>
      <w:bookmarkStart w:id="90" w:name="fig:ArqCotizador.7.Datos.Negocio"/>
      <w:r>
        <w:drawing>
          <wp:inline>
            <wp:extent cx="5600700" cy="6175130"/>
            <wp:effectExtent b="0" l="0" r="0" t="0"/>
            <wp:docPr descr="Imagen 7: Diagram: ArqCotizador. 7. Datos. Negocio" title="" id="88" name="Picture"/>
            <a:graphic>
              <a:graphicData uri="http://schemas.openxmlformats.org/drawingml/2006/picture">
                <pic:pic>
                  <pic:nvPicPr>
                    <pic:cNvPr descr="images/ArqCotizador.7.Datos.Negocio.png" id="89" name="Picture"/>
                    <pic:cNvPicPr>
                      <a:picLocks noChangeArrowheads="1" noChangeAspect="1"/>
                    </pic:cNvPicPr>
                  </pic:nvPicPr>
                  <pic:blipFill>
                    <a:blip r:embed="rId87"/>
                    <a:stretch>
                      <a:fillRect/>
                    </a:stretch>
                  </pic:blipFill>
                  <pic:spPr bwMode="auto">
                    <a:xfrm>
                      <a:off x="0" y="0"/>
                      <a:ext cx="5600700" cy="6175130"/>
                    </a:xfrm>
                    <a:prstGeom prst="rect">
                      <a:avLst/>
                    </a:prstGeom>
                    <a:noFill/>
                    <a:ln w="9525">
                      <a:noFill/>
                      <a:headEnd/>
                      <a:tailEnd/>
                    </a:ln>
                  </pic:spPr>
                </pic:pic>
              </a:graphicData>
            </a:graphic>
          </wp:inline>
        </w:drawing>
      </w:r>
      <w:bookmarkEnd w:id="90"/>
    </w:p>
    <w:p>
      <w:pPr>
        <w:pStyle w:val="ImageCaption"/>
      </w:pPr>
      <w:r>
        <w:t xml:space="preserve">Imagen 7: Diagram: ArqCotizador. 7. Datos. Negocio</w:t>
      </w:r>
    </w:p>
    <w:bookmarkEnd w:id="0"/>
    <w:bookmarkStart w:id="9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1"/>
        </w:numPr>
        <w:pStyle w:val="Compact"/>
      </w:pPr>
      <w:r>
        <w:t xml:space="preserve">Configuración (caracterización de productos, plan)</w:t>
      </w:r>
    </w:p>
    <w:p>
      <w:pPr>
        <w:numPr>
          <w:ilvl w:val="0"/>
          <w:numId w:val="1011"/>
        </w:numPr>
        <w:pStyle w:val="Compact"/>
      </w:pPr>
      <w:r>
        <w:t xml:space="preserve">Plan (producto pólizas seguros)</w:t>
      </w:r>
    </w:p>
    <w:p>
      <w:pPr>
        <w:numPr>
          <w:ilvl w:val="0"/>
          <w:numId w:val="1011"/>
        </w:numPr>
        <w:pStyle w:val="Compact"/>
      </w:pPr>
      <w:r>
        <w:t xml:space="preserve">Canal (medios del tomador/asociado)</w:t>
      </w:r>
    </w:p>
    <w:p>
      <w:pPr>
        <w:numPr>
          <w:ilvl w:val="0"/>
          <w:numId w:val="1011"/>
        </w:numPr>
        <w:pStyle w:val="Compact"/>
      </w:pPr>
      <w:r>
        <w:t xml:space="preserve">Parametros globales (catálogos)</w:t>
      </w:r>
    </w:p>
    <w:p>
      <w:pPr>
        <w:numPr>
          <w:ilvl w:val="0"/>
          <w:numId w:val="1011"/>
        </w:numPr>
        <w:pStyle w:val="Compact"/>
      </w:pPr>
      <w:r>
        <w:t xml:space="preserve">Portafolio de asociado</w:t>
      </w:r>
    </w:p>
    <w:p>
      <w:pPr>
        <w:numPr>
          <w:ilvl w:val="0"/>
          <w:numId w:val="1011"/>
        </w:numPr>
        <w:pStyle w:val="Compact"/>
      </w:pPr>
      <w:r>
        <w:t xml:space="preserve">Asociado</w:t>
      </w:r>
    </w:p>
    <w:p>
      <w:pPr>
        <w:numPr>
          <w:ilvl w:val="0"/>
          <w:numId w:val="1011"/>
        </w:numPr>
        <w:pStyle w:val="Compact"/>
      </w:pPr>
      <w:r>
        <w:t xml:space="preserve">Facturación</w:t>
      </w:r>
    </w:p>
    <w:p>
      <w:pPr>
        <w:numPr>
          <w:ilvl w:val="0"/>
          <w:numId w:val="1011"/>
        </w:numPr>
        <w:pStyle w:val="Compact"/>
      </w:pPr>
      <w:r>
        <w:t xml:space="preserve">Beneficiario</w:t>
      </w:r>
    </w:p>
    <w:bookmarkEnd w:id="91"/>
    <w:bookmarkStart w:id="92"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92"/>
    <w:bookmarkEnd w:id="93"/>
    <w:bookmarkStart w:id="94" w:name="X7285da4bcdcc60653127f5dd9fdbfe55be85dbf"/>
    <w:p>
      <w:pPr>
        <w:pStyle w:val="Ttulo2"/>
      </w:pPr>
      <w:r>
        <w:t xml:space="preserve">Requerimientos de Administración Cotizador Web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4"/>
    <w:bookmarkStart w:id="95" w:name="X94dc158b1793239e705fe623a8106f41795f73e"/>
    <w:p>
      <w:pPr>
        <w:pStyle w:val="Ttulo2"/>
      </w:pPr>
      <w:r>
        <w:t xml:space="preserve">Requerimientos de Seguridad Cotizador Web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5"/>
    <w:bookmarkEnd w:id="96"/>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8"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7">
        <w:r>
          <w:rPr>
            <w:rStyle w:val="Hipervnculo"/>
          </w:rPr>
          <w:t xml:space="preserve">https://hwong23.github.io/fna-devdoc-f1/v/6497aef0f15c3591f0728e4c42cb2c26c13b43aa/</w:t>
        </w:r>
      </w:hyperlink>
    </w:p>
    <w:bookmarkEnd w:id="98"/>
    <w:bookmarkStart w:id="9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7">
        <w:r>
          <w:rPr>
            <w:rStyle w:val="Hipervnculo"/>
          </w:rPr>
          <w:t xml:space="preserve">https://hwong23.github.io/fna-devdoc-f1/v/6497aef0f15c3591f0728e4c42cb2c26c13b43aa/</w:t>
        </w:r>
      </w:hyperlink>
    </w:p>
    <w:bookmarkEnd w:id="99"/>
    <w:bookmarkStart w:id="100"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7">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2decfe6b1b0d8b8d369212978cf186007beb3e76/"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2decfe6b1b0d8b8d369212978cf186007beb3e76/"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2023-10-17T13:08:40Z</dcterms:created>
  <dcterms:modified xsi:type="dcterms:W3CDTF">2023-10-17T13:08:40Z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