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1.6d0f876 de 13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13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STEF@6d0f876</w:t>
        </w:r>
      </w:hyperlink>
      <w:r>
        <w:t xml:space="preserve"> </w:t>
      </w:r>
      <w:r>
        <w:t xml:space="preserve">del October 13,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1.6d0f876 del 13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ea5e11afb10325f31641e4241d3e4f0029cfa15"/>
    <w:p>
      <w:pPr>
        <w:pStyle w:val="Ttulo2"/>
      </w:pPr>
      <w:r>
        <w:t xml:space="preserve">Requisitos Particulares de Arquitectura Cotizador Web Mi Mutual Central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Migración Cotizador Web Mi Mutual, Consistencia.</w:t>
      </w:r>
      <w:r>
        <w:t xml:space="preserve"> </w:t>
      </w:r>
    </w:p>
    <w:tbl>
      <w:tblPr>
        <w:tblStyle w:val="Table"/>
        <w:tblW w:type="pct" w:w="5000"/>
        <w:tblLook w:firstRow="1" w:lastRow="0" w:firstColumn="0" w:lastColumn="0" w:noHBand="0" w:noVBand="0" w:val="0020"/>
        <w:tblCaption w:val="Tabla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36"/>
    <w:bookmarkEnd w:id="0"/>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Migración Cotizador Web Mi Mutual, Flexibilidad.</w:t>
      </w:r>
      <w:r>
        <w:t xml:space="preserve"> </w:t>
      </w:r>
    </w:p>
    <w:tbl>
      <w:tblPr>
        <w:tblStyle w:val="Table"/>
        <w:tblW w:type="pct" w:w="5000"/>
        <w:tblLook w:firstRow="1" w:lastRow="0" w:firstColumn="0" w:lastColumn="0" w:noHBand="0" w:noVBand="0" w:val="0020"/>
        <w:tblCaption w:val="Tabla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arqcotizador.-1.-contexto">
        <w:r>
          <w:rPr>
            <w:rStyle w:val="Hipervnculo"/>
          </w:rPr>
          <w:t xml:space="preserve">ArqCotizador. 1. Contexto</w:t>
        </w:r>
      </w:hyperlink>
    </w:p>
    <w:p>
      <w:pPr>
        <w:numPr>
          <w:ilvl w:val="1"/>
          <w:numId w:val="1006"/>
        </w:numPr>
        <w:pStyle w:val="Compact"/>
      </w:pPr>
      <w:hyperlink w:anchor="arqcotizador.-2.-contenedores">
        <w:r>
          <w:rPr>
            <w:rStyle w:val="Hipervnculo"/>
          </w:rPr>
          <w:t xml:space="preserve">ArqCotizador. 2. Contenedores</w:t>
        </w:r>
      </w:hyperlink>
    </w:p>
    <w:p>
      <w:pPr>
        <w:numPr>
          <w:ilvl w:val="1"/>
          <w:numId w:val="1006"/>
        </w:numPr>
        <w:pStyle w:val="Compact"/>
      </w:pPr>
      <w:hyperlink w:anchor="arqcotizador.-4.-aplicación">
        <w:r>
          <w:rPr>
            <w:rStyle w:val="Hipervnculo"/>
          </w:rPr>
          <w:t xml:space="preserve">ArqCotizador. 4. Aplicación</w:t>
        </w:r>
      </w:hyperlink>
    </w:p>
    <w:p>
      <w:pPr>
        <w:numPr>
          <w:ilvl w:val="1"/>
          <w:numId w:val="1006"/>
        </w:numPr>
        <w:pStyle w:val="Compact"/>
      </w:pPr>
      <w:hyperlink w:anchor="arqcotizador.-4a.-aplicación.-servicios">
        <w:r>
          <w:rPr>
            <w:rStyle w:val="Hipervnculo"/>
          </w:rPr>
          <w:t xml:space="preserve">ArqCotizador. 4a. Aplicación. Servicios</w:t>
        </w:r>
      </w:hyperlink>
    </w:p>
    <w:p>
      <w:pPr>
        <w:numPr>
          <w:ilvl w:val="1"/>
          <w:numId w:val="1006"/>
        </w:numPr>
        <w:pStyle w:val="Compact"/>
      </w:pPr>
      <w:hyperlink w:anchor="arqcotizador.-4a.-dependencias">
        <w:r>
          <w:rPr>
            <w:rStyle w:val="Hipervnculo"/>
          </w:rPr>
          <w:t xml:space="preserve">ArqCotizador. 4a. Dependencias</w:t>
        </w:r>
      </w:hyperlink>
    </w:p>
    <w:p>
      <w:pPr>
        <w:numPr>
          <w:ilvl w:val="1"/>
          <w:numId w:val="1006"/>
        </w:numPr>
        <w:pStyle w:val="Compact"/>
      </w:pPr>
      <w:hyperlink w:anchor="arqcotizador.-5.-físico-despliegue">
        <w:r>
          <w:rPr>
            <w:rStyle w:val="Hipervnculo"/>
          </w:rPr>
          <w:t xml:space="preserve">ArqCotizador. 5. Físico (despliegue)</w:t>
        </w:r>
      </w:hyperlink>
    </w:p>
    <w:p>
      <w:pPr>
        <w:numPr>
          <w:ilvl w:val="1"/>
          <w:numId w:val="1006"/>
        </w:numPr>
        <w:pStyle w:val="Compact"/>
      </w:pPr>
      <w:hyperlink w:anchor="arqcotizador.-7.-datos.-negocio">
        <w:r>
          <w:rPr>
            <w:rStyle w:val="Hipervnculo"/>
          </w:rPr>
          <w:t xml:space="preserve">ArqCotizador. 7. Datos. Negocio</w:t>
        </w:r>
      </w:hyperlink>
    </w:p>
    <w:p>
      <w:r>
        <w:br w:type="page"/>
      </w:r>
    </w:p>
    <w:bookmarkEnd w:id="42"/>
    <w:bookmarkStart w:id="96" w:name="cotizador-web"/>
    <w:p>
      <w:pPr>
        <w:pStyle w:val="Ttulo1"/>
      </w:pPr>
      <w:r>
        <w:t xml:space="preserve">Cotizador Web</w:t>
      </w:r>
    </w:p>
    <w:bookmarkStart w:id="51" w:name="arqcotizador.-1.-contexto"/>
    <w:p>
      <w:pPr>
        <w:pStyle w:val="Ttulo2"/>
      </w:pPr>
      <w:r>
        <w:t xml:space="preserve">ArqCotizador. 1. Contexto</w:t>
      </w:r>
    </w:p>
    <w:bookmarkStart w:id="0" w:name="fig:ArqCotizador.1.Contexto"/>
    <w:p>
      <w:pPr>
        <w:pStyle w:val="CaptionedFigure"/>
      </w:pPr>
      <w:bookmarkStart w:id="46" w:name="fig:ArqCotizador.1.Contexto"/>
      <w:r>
        <w:drawing>
          <wp:inline>
            <wp:extent cx="5600700" cy="2613995"/>
            <wp:effectExtent b="0" l="0" r="0" t="0"/>
            <wp:docPr descr="Imagen 1: Diagram: ArqCotizador. 1. Contexto" title="" id="44" name="Picture"/>
            <a:graphic>
              <a:graphicData uri="http://schemas.openxmlformats.org/drawingml/2006/picture">
                <pic:pic>
                  <pic:nvPicPr>
                    <pic:cNvPr descr="images/ArqCotizador.1.Contexto.png" id="45" name="Picture"/>
                    <pic:cNvPicPr>
                      <a:picLocks noChangeArrowheads="1" noChangeAspect="1"/>
                    </pic:cNvPicPr>
                  </pic:nvPicPr>
                  <pic:blipFill>
                    <a:blip r:embed="rId43"/>
                    <a:stretch>
                      <a:fillRect/>
                    </a:stretch>
                  </pic:blipFill>
                  <pic:spPr bwMode="auto">
                    <a:xfrm>
                      <a:off x="0" y="0"/>
                      <a:ext cx="5600700" cy="2613995"/>
                    </a:xfrm>
                    <a:prstGeom prst="rect">
                      <a:avLst/>
                    </a:prstGeom>
                    <a:noFill/>
                    <a:ln w="9525">
                      <a:noFill/>
                      <a:headEnd/>
                      <a:tailEnd/>
                    </a:ln>
                  </pic:spPr>
                </pic:pic>
              </a:graphicData>
            </a:graphic>
          </wp:inline>
        </w:drawing>
      </w:r>
      <w:bookmarkEnd w:id="46"/>
    </w:p>
    <w:p>
      <w:pPr>
        <w:pStyle w:val="ImageCaption"/>
      </w:pPr>
      <w:r>
        <w:t xml:space="preserve">Imagen 1: Diagram: ArqCotizador.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cotizador.-2.-contenedores"/>
    <w:p>
      <w:pPr>
        <w:pStyle w:val="Ttulo2"/>
      </w:pPr>
      <w:r>
        <w:t xml:space="preserve">ArqCotizador. 2. Contenedores</w:t>
      </w:r>
    </w:p>
    <w:bookmarkStart w:id="0" w:name="fig:ArqCotizador.2.Contenedores"/>
    <w:p>
      <w:pPr>
        <w:pStyle w:val="CaptionedFigure"/>
      </w:pPr>
      <w:bookmarkStart w:id="55" w:name="fig:ArqCotizador.2.Contenedores"/>
      <w:r>
        <w:drawing>
          <wp:inline>
            <wp:extent cx="5600700" cy="3957720"/>
            <wp:effectExtent b="0" l="0" r="0" t="0"/>
            <wp:docPr descr="Imagen 2: Diagram: ArqCotizador. 2. Contenedores" title="" id="53" name="Picture"/>
            <a:graphic>
              <a:graphicData uri="http://schemas.openxmlformats.org/drawingml/2006/picture">
                <pic:pic>
                  <pic:nvPicPr>
                    <pic:cNvPr descr="images/Arq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ArqCotizador.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arqcotizador.-4.-aplicación"/>
    <w:p>
      <w:pPr>
        <w:pStyle w:val="Ttulo2"/>
      </w:pPr>
      <w:r>
        <w:t xml:space="preserve">ArqCotizador. 4. Aplicación</w:t>
      </w:r>
    </w:p>
    <w:bookmarkStart w:id="0" w:name="fig:ArqCotizador.4.Aplicación"/>
    <w:p>
      <w:pPr>
        <w:pStyle w:val="CaptionedFigure"/>
      </w:pPr>
      <w:bookmarkStart w:id="61" w:name="fig:ArqCotizador.4.Aplicación"/>
      <w:r>
        <w:drawing>
          <wp:inline>
            <wp:extent cx="5600700" cy="4790200"/>
            <wp:effectExtent b="0" l="0" r="0" t="0"/>
            <wp:docPr descr="Imagen 3: Diagram: ArqCotizador. 4. Aplicación" title="" id="59" name="Picture"/>
            <a:graphic>
              <a:graphicData uri="http://schemas.openxmlformats.org/drawingml/2006/picture">
                <pic:pic>
                  <pic:nvPicPr>
                    <pic:cNvPr descr="images/ArqCotizador.4.Aplicación.png" id="60" name="Picture"/>
                    <pic:cNvPicPr>
                      <a:picLocks noChangeArrowheads="1" noChangeAspect="1"/>
                    </pic:cNvPicPr>
                  </pic:nvPicPr>
                  <pic:blipFill>
                    <a:blip r:embed="rId58"/>
                    <a:stretch>
                      <a:fillRect/>
                    </a:stretch>
                  </pic:blipFill>
                  <pic:spPr bwMode="auto">
                    <a:xfrm>
                      <a:off x="0" y="0"/>
                      <a:ext cx="5600700" cy="4790200"/>
                    </a:xfrm>
                    <a:prstGeom prst="rect">
                      <a:avLst/>
                    </a:prstGeom>
                    <a:noFill/>
                    <a:ln w="9525">
                      <a:noFill/>
                      <a:headEnd/>
                      <a:tailEnd/>
                    </a:ln>
                  </pic:spPr>
                </pic:pic>
              </a:graphicData>
            </a:graphic>
          </wp:inline>
        </w:drawing>
      </w:r>
      <w:bookmarkEnd w:id="61"/>
    </w:p>
    <w:p>
      <w:pPr>
        <w:pStyle w:val="ImageCaption"/>
      </w:pPr>
      <w:r>
        <w:t xml:space="preserve">Imagen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arqcotizador.-4a.-aplicación.-servicios"/>
    <w:p>
      <w:pPr>
        <w:pStyle w:val="Ttulo2"/>
      </w:pPr>
      <w:r>
        <w:t xml:space="preserve">ArqCotizador. 4a. Aplicación. Servicios</w:t>
      </w:r>
    </w:p>
    <w:bookmarkStart w:id="0" w:name="fig:ArqCotizador.4a.Aplicación.Servicios"/>
    <w:p>
      <w:pPr>
        <w:pStyle w:val="CaptionedFigure"/>
      </w:pPr>
      <w:bookmarkStart w:id="67" w:name="fig:ArqCotizador.4a.Aplicación.Servicios"/>
      <w:r>
        <w:drawing>
          <wp:inline>
            <wp:extent cx="5600700" cy="6034931"/>
            <wp:effectExtent b="0" l="0" r="0" t="0"/>
            <wp:docPr descr="Imagen 4: Diagram: ArqCotizador. 4a. Aplicación. Servicios" title="" id="65" name="Picture"/>
            <a:graphic>
              <a:graphicData uri="http://schemas.openxmlformats.org/drawingml/2006/picture">
                <pic:pic>
                  <pic:nvPicPr>
                    <pic:cNvPr descr="images/Arq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ArqCotizador.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arqcotizador.-4a.-dependencias"/>
    <w:p>
      <w:pPr>
        <w:pStyle w:val="Ttulo2"/>
      </w:pPr>
      <w:r>
        <w:t xml:space="preserve">ArqCotizador. 4a. Dependencias</w:t>
      </w:r>
    </w:p>
    <w:bookmarkStart w:id="0" w:name="fig:ArqCotizador.4a.Dependencias"/>
    <w:p>
      <w:pPr>
        <w:pStyle w:val="CaptionedFigure"/>
      </w:pPr>
      <w:bookmarkStart w:id="73" w:name="fig:ArqCotizador.4a.Dependencias"/>
      <w:r>
        <w:drawing>
          <wp:inline>
            <wp:extent cx="5600700" cy="4922805"/>
            <wp:effectExtent b="0" l="0" r="0" t="0"/>
            <wp:docPr descr="Imagen 5: Diagram: ArqCotizador. 4a. Dependencias" title="" id="71" name="Picture"/>
            <a:graphic>
              <a:graphicData uri="http://schemas.openxmlformats.org/drawingml/2006/picture">
                <pic:pic>
                  <pic:nvPicPr>
                    <pic:cNvPr descr="images/Arq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ArqCotizador.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arqcotizador.-5.-físico-despliegue"/>
    <w:p>
      <w:pPr>
        <w:pStyle w:val="Ttulo2"/>
      </w:pPr>
      <w:r>
        <w:t xml:space="preserve">ArqCotizador. 5. Físico (despliegue)</w:t>
      </w:r>
    </w:p>
    <w:bookmarkStart w:id="0" w:name="fig:ArqCotizador.5.Físico(despliegue)"/>
    <w:p>
      <w:pPr>
        <w:pStyle w:val="CaptionedFigure"/>
      </w:pPr>
      <w:bookmarkStart w:id="82" w:name="fig:ArqCotizador.5.Físico(despliegue)"/>
      <w:r>
        <w:drawing>
          <wp:inline>
            <wp:extent cx="5600700" cy="6132016"/>
            <wp:effectExtent b="0" l="0" r="0" t="0"/>
            <wp:docPr descr="Imagen 6: Diagram: ArqCotizador. 5. Físico (despliegue)" title="" id="80" name="Picture"/>
            <a:graphic>
              <a:graphicData uri="http://schemas.openxmlformats.org/drawingml/2006/picture">
                <pic:pic>
                  <pic:nvPicPr>
                    <pic:cNvPr descr="images/Arq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ArqCotizador.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10"/>
        </w:numPr>
        <w:pStyle w:val="Compact"/>
      </w:pPr>
      <w:r>
        <w:t xml:space="preserve">Angular 9.1.12 o superior.</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arqcotizador.-7.-datos.-negocio"/>
    <w:p>
      <w:pPr>
        <w:pStyle w:val="Ttulo2"/>
      </w:pPr>
      <w:r>
        <w:t xml:space="preserve">ArqCotizador. 7. Datos. Negocio</w:t>
      </w:r>
    </w:p>
    <w:bookmarkStart w:id="0" w:name="fig:ArqCotizador.7.Datos.Negocio"/>
    <w:p>
      <w:pPr>
        <w:pStyle w:val="CaptionedFigure"/>
      </w:pPr>
      <w:bookmarkStart w:id="90" w:name="fig:ArqCotizador.7.Datos.Negocio"/>
      <w:r>
        <w:drawing>
          <wp:inline>
            <wp:extent cx="5600700" cy="6175130"/>
            <wp:effectExtent b="0" l="0" r="0" t="0"/>
            <wp:docPr descr="Imagen 7: Diagram: ArqCotizador. 7. Datos. Negocio" title="" id="88" name="Picture"/>
            <a:graphic>
              <a:graphicData uri="http://schemas.openxmlformats.org/drawingml/2006/picture">
                <pic:pic>
                  <pic:nvPicPr>
                    <pic:cNvPr descr="images/Arq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ArqCotizador.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6d0f8760927d3058d804a9d834201d6f529521f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6d0f8760927d3058d804a9d834201d6f529521f8/"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2023-10-13T19:55:40Z</dcterms:created>
  <dcterms:modified xsi:type="dcterms:W3CDTF">2023-10-13T19:55:40Z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