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Cotización y Ventas , y por tanto, a considerar en el ejercicio de arquitectura del presente proyecto.</w:t>
      </w:r>
    </w:p>
    <w:p>
      <w:pPr>
        <w:pStyle w:val="Textoindependiente"/>
      </w:pPr>
      <w:r>
        <w:t xml:space="preserve">Lista de restricciones de Mi Mutual Cotización y Ventas ,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2023-12-19T17:21:36Z</dcterms:created>
  <dcterms:modified xsi:type="dcterms:W3CDTF">2023-12-19T17:21:36Z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