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b6dd2544e97d57abeb3f1c10f6146b7daf9286"/>
    <w:p>
      <w:pPr>
        <w:pStyle w:val="Ttulo2"/>
      </w:pPr>
      <w:r>
        <w:t xml:space="preserve">Requisitos Particulares de Arquitectura (no funcional)</w:t>
      </w:r>
    </w:p>
    <w:bookmarkStart w:id="21" w:name="Xd76c0dd5ba33b526e7543eafaf4a072da4167cb"/>
    <w:p>
      <w:pPr>
        <w:pStyle w:val="Ttulo3"/>
      </w:pPr>
      <w:r>
        <w:t xml:space="preserve">Consistencia Mi Mutual Cotización y Ventas (lógica)</w:t>
      </w:r>
    </w:p>
    <w:bookmarkStart w:id="0" w:name="tbl:requisito1-id"/>
    <w:bookmarkStart w:id="20" w:name="tbl:requisito1-id"/>
    <w:p>
      <w:pPr>
        <w:pStyle w:val="TableCaption"/>
      </w:pPr>
      <w:r>
        <w:t xml:space="preserve">Table 1: Requisito no. 1, Desarrollo Mi Mutual Cotización y Ventas , Consistencia.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equisito no. 1, Desarrollo Mi Mutual Cotización y Ventas , Consistencia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Unifica las entidades de negocio Coomeva, entre las que se incluyen a Cotización, Venta, Vinculación, en artefactos reutilizables. Distinto de que estas entidades (y su lógica de negocio) estén dispersos entre los sistemas del Mi Mutual Cotización y Ventas , estarán concentradas en un único artefacto correspondiente.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consistencia persigue que el resultado de la lógica de negocio de las entidades de Mi Mutual sea la misma entre los módulos del Mi Mutual Cotización y Ventas . Esto redunda a mantenibilidad y gestión: tiende a tener un solo punto de cambio y dificulta la transferencia de dependencias implícitas a otros procesos.</w:t>
            </w:r>
          </w:p>
        </w:tc>
      </w:tr>
    </w:tbl>
    <w:bookmarkEnd w:id="20"/>
    <w:bookmarkEnd w:id="0"/>
    <w:p>
      <w:pPr>
        <w:pStyle w:val="Textoindependiente"/>
      </w:pPr>
    </w:p>
    <w:bookmarkEnd w:id="21"/>
    <w:bookmarkStart w:id="23" w:name="X335c15c05e4f290914765c4caa22f5d75b67b92"/>
    <w:p>
      <w:pPr>
        <w:pStyle w:val="Ttulo3"/>
      </w:pPr>
      <w:r>
        <w:t xml:space="preserve">Mantenibilidad Mi Mutual Cotización y Ventas</w:t>
      </w:r>
    </w:p>
    <w:bookmarkStart w:id="0" w:name="tbl:requisito2-id"/>
    <w:bookmarkStart w:id="22" w:name="tbl:requisito2-id"/>
    <w:p>
      <w:pPr>
        <w:pStyle w:val="TableCaption"/>
      </w:pPr>
      <w:r>
        <w:t xml:space="preserve">Table 2: Requisito no. 2, Mantenibilidad Mi Mutual Cotización y Ventas 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2: Requisito no. 2, Mantenibilidad Mi Mutual Cotización y Ventas 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Mantenibilidad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Evitar las dependencias transitivas de los módulos misionales del Mi Mutual Cotización y Ventas a componentes y sistemas de terceros o submódulos no misionales.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mantenibilidad por control de dependencias que optimiza el diseño Desarrollo Mi Mutual Cotización y Ventas está dada por el control de cambios no programados sobre los componentes misionales del Mi Mutual Cotización y Ventas (corrupción de componentes). Ver Patrón de Diseño Desarrollo Mi Mutual Cotización y Ventas , más adelante en el documento.</w:t>
            </w:r>
          </w:p>
        </w:tc>
      </w:tr>
    </w:tbl>
    <w:bookmarkEnd w:id="22"/>
    <w:bookmarkEnd w:id="0"/>
    <w:p>
      <w:pPr>
        <w:pStyle w:val="Textoindependiente"/>
      </w:pPr>
    </w:p>
    <w:bookmarkEnd w:id="23"/>
    <w:bookmarkStart w:id="25" w:name="Xbeb550bb01298a83b7a5b4dd1d014a12305e981"/>
    <w:p>
      <w:pPr>
        <w:pStyle w:val="Ttulo3"/>
      </w:pPr>
      <w:r>
        <w:t xml:space="preserve">Extensibilidad Mi Mutual Cotización y Ventas</w:t>
      </w:r>
    </w:p>
    <w:bookmarkStart w:id="0" w:name="tbl:requisito3-id"/>
    <w:bookmarkStart w:id="24" w:name="tbl:requisito3-id"/>
    <w:p>
      <w:pPr>
        <w:pStyle w:val="TableCaption"/>
      </w:pPr>
      <w:r>
        <w:t xml:space="preserve">Table 3: Requisito no. 3, Desarrollo Mi Mutual Cotización y Ventas , Flexibilidad.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3: Requisito no. 3, Desarrollo Mi Mutual Cotización y Ventas , Flexibilidad. "/>
      </w:tblPr>
      <w:tblGrid>
        <w:gridCol w:w="3520"/>
        <w:gridCol w:w="4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Mi Mutual Cotización y Ventas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Mi Mutual Cotización y Ventas protegidos de cambios provenientes de otros sistemas. Ver Patrón de Diseño Desarrollo Mi Mutual Cotización y Ventas 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Desarrollo Mi Mutual Cotización y Ventas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p>
      <w:r>
        <w:br w:type="page"/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2024-01-09T23:05:14Z</dcterms:created>
  <dcterms:modified xsi:type="dcterms:W3CDTF">2024-01-09T23:05:14Z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