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dfed88e1982bd14c512174813fc79fcfe6afff"/>
    <w:p>
      <w:pPr>
        <w:pStyle w:val="Heading1"/>
      </w:pPr>
      <w:r>
        <w:t xml:space="preserve">Entregables Fase I de la Visión AE de SG</w:t>
      </w:r>
    </w:p>
    <w:p>
      <w:pPr>
        <w:numPr>
          <w:ilvl w:val="0"/>
          <w:numId w:val="1001"/>
        </w:numPr>
        <w:pStyle w:val="Compact"/>
      </w:pPr>
      <w:hyperlink w:anchor="documento-de-visión">
        <w:r>
          <w:rPr>
            <w:rStyle w:val="Hyperlink"/>
          </w:rPr>
          <w:t xml:space="preserve">Documento de Visión</w:t>
        </w:r>
      </w:hyperlink>
    </w:p>
    <w:p>
      <w:r>
        <w:br w:type="page"/>
      </w:r>
    </w:p>
    <w:bookmarkEnd w:id="20"/>
    <w:bookmarkStart w:id="105" w:name="sec:documento-de-visión"/>
    <w:p>
      <w:pPr>
        <w:pStyle w:val="Heading1"/>
      </w:pPr>
      <w:r>
        <w:t xml:space="preserve">Documento de Visión</w:t>
      </w:r>
    </w:p>
    <w:bookmarkStart w:id="40" w:name="Xa9d104a7f08cf13eef6b7fb8d61d81ecde9c1ff"/>
    <w:p>
      <w:pPr>
        <w:pStyle w:val="Heading2"/>
      </w:pPr>
      <w:r>
        <w:t xml:space="preserve">Visión del Dominio de Sistemas de Información</w:t>
      </w:r>
    </w:p>
    <w:p>
      <w:pPr>
        <w:pStyle w:val="FirstParagraph"/>
      </w:pPr>
    </w:p>
    <w:p>
      <w:pPr>
        <w:pStyle w:val="BodyText"/>
      </w:pPr>
      <w:r>
        <w:t xml:space="preserve">La Fase Tres (3) de la arquitectura empresarial (AE) de SG se divide en dos partes principales: Arquitectura de Datos y Arquitectura de Aplicaciones.</w:t>
      </w:r>
    </w:p>
    <w:bookmarkStart w:id="21"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La Arquitectura de Aplicaciones no opera de forma aislada; está intrínsecamente conectada con las fases anteriores y posteriores de la arquitectura empresarial de Secretaria General Alcaldía Mayor de Bogotá:</w:t>
      </w:r>
    </w:p>
    <w:p>
      <w:pPr>
        <w:numPr>
          <w:ilvl w:val="0"/>
          <w:numId w:val="1003"/>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03"/>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03"/>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03"/>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03"/>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22"/>
    <w:bookmarkStart w:id="2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04"/>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04"/>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04"/>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04"/>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04"/>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04"/>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04"/>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p>
      <w:pPr>
        <w:pStyle w:val="CaptionedFigure"/>
      </w:pPr>
      <w:r>
        <w:drawing>
          <wp:inline>
            <wp:extent cx="5943600" cy="6261100"/>
            <wp:effectExtent b="0" l="0" r="0" t="0"/>
            <wp:docPr descr="06.3n. Vision SI. Fuente: Proyecto arquitectura empresarial. Arquitectura de Aplicaciones Secretaria General Alcaldía Mayor de Bogotá (2025)" title="" id="24" name="Picture"/>
            <a:graphic>
              <a:graphicData uri="http://schemas.openxmlformats.org/drawingml/2006/picture">
                <pic:pic>
                  <pic:nvPicPr>
                    <pic:cNvPr descr="images/06.3n.VisionSI.png" id="25" name="Picture"/>
                    <pic:cNvPicPr>
                      <a:picLocks noChangeArrowheads="1" noChangeAspect="1"/>
                    </pic:cNvPicPr>
                  </pic:nvPicPr>
                  <pic:blipFill>
                    <a:blip r:embed="rId23"/>
                    <a:stretch>
                      <a:fillRect/>
                    </a:stretch>
                  </pic:blipFill>
                  <pic:spPr bwMode="auto">
                    <a:xfrm>
                      <a:off x="0" y="0"/>
                      <a:ext cx="5943600" cy="6261100"/>
                    </a:xfrm>
                    <a:prstGeom prst="rect">
                      <a:avLst/>
                    </a:prstGeom>
                    <a:noFill/>
                    <a:ln w="9525">
                      <a:noFill/>
                      <a:headEnd/>
                      <a:tailEnd/>
                    </a:ln>
                  </pic:spPr>
                </pic:pic>
              </a:graphicData>
            </a:graphic>
          </wp:inline>
        </w:drawing>
      </w:r>
    </w:p>
    <w:p>
      <w:pPr>
        <w:pStyle w:val="ImageCaption"/>
      </w:pPr>
      <w:r>
        <w:t xml:space="preserve">Figura 1: 06.3n. Vision SI.</w:t>
      </w:r>
      <w:r>
        <w:t xml:space="preserve"> </w:t>
      </w:r>
      <w:r>
        <w:rPr>
          <w:iCs/>
          <w:i/>
        </w:rPr>
        <w:t xml:space="preserve">Fuente: Proyecto arquitectura empresarial. Arquitectura de Aplicaciones Secretaria General Alcaldía Mayor de Bogotá (2025)</w:t>
      </w:r>
    </w:p>
    <w:bookmarkEnd w:id="26"/>
    <w:bookmarkStart w:id="28"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7"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7"/>
    <w:bookmarkEnd w:id="28"/>
    <w:bookmarkStart w:id="29" w:name="sec:vistas-y-artefactos-del-dominio"/>
    <w:p>
      <w:pPr>
        <w:pStyle w:val="Heading3"/>
      </w:pPr>
      <w:r>
        <w:t xml:space="preserve">Vistas y Artefactos del Dominio</w:t>
      </w:r>
    </w:p>
    <w:p>
      <w:pPr>
        <w:pStyle w:val="FirstParagraph"/>
      </w:pPr>
      <w:r>
        <w:t xml:space="preserve">A continuación, presentamos las vistas y artefactos del dominio de sistemas de información consignados en el alcance del proyecto.</w:t>
      </w:r>
    </w:p>
    <w:bookmarkEnd w:id="29"/>
    <w:bookmarkStart w:id="30"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0"/>
    <w:bookmarkStart w:id="32"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1"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Catálogo de aplicaciones de SG procura beneficios estratégicos y operativos:</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31"/>
    <w:bookmarkEnd w:id="32"/>
    <w:bookmarkStart w:id="35"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3"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Pr>
      <w:r>
        <w:t xml:space="preserve">Impulsar la transformación digital para alinear estrategias, procesos y tecnologías, que resulte en el aumento de eficiencia de la gestión pública.</w:t>
      </w:r>
    </w:p>
    <w:p>
      <w:pPr>
        <w:numPr>
          <w:ilvl w:val="0"/>
          <w:numId w:val="1016"/>
        </w:numPr>
      </w:pPr>
      <w:r>
        <w:t xml:space="preserve">Cerrar las brechas en la Política de Gobierno Digital, de la cual la Arquitectura Empresarial es un habilitador clave.</w:t>
      </w:r>
    </w:p>
    <w:p>
      <w:pPr>
        <w:numPr>
          <w:ilvl w:val="0"/>
          <w:numId w:val="1016"/>
        </w:numPr>
      </w:pPr>
      <w:r>
        <w:t xml:space="preserve">Modernizar la infraestructura tecnológica que resulte del análisis de obsolescencia para asegurar su continuidad y disponibilidad.</w:t>
      </w:r>
    </w:p>
    <w:p>
      <w:pPr>
        <w:numPr>
          <w:ilvl w:val="0"/>
          <w:numId w:val="1016"/>
        </w:numPr>
      </w:pPr>
      <w:r>
        <w:t xml:space="preserve">Integrar plataformas y ecosistemas digitales y superar la falta de interoperabilidad.</w:t>
      </w:r>
    </w:p>
    <w:p>
      <w:pPr>
        <w:numPr>
          <w:ilvl w:val="0"/>
          <w:numId w:val="1016"/>
        </w:numPr>
      </w:pPr>
      <w:r>
        <w:t xml:space="preserve">Aumentar la automatización de los trámites digitales.</w:t>
      </w:r>
    </w:p>
    <w:p>
      <w:pPr>
        <w:numPr>
          <w:ilvl w:val="0"/>
          <w:numId w:val="1016"/>
        </w:numPr>
      </w:pPr>
      <w:r>
        <w:t xml:space="preserve">Estandarizar la gestión y gobernanza de datos públicos.</w:t>
      </w:r>
    </w:p>
    <w:p>
      <w:pPr>
        <w:numPr>
          <w:ilvl w:val="0"/>
          <w:numId w:val="1016"/>
        </w:numPr>
      </w:pPr>
      <w:r>
        <w:t xml:space="preserve">Mejorar el soporte que los SI dan a la toma de decisiones basada en evidencia.</w:t>
      </w:r>
    </w:p>
    <w:p>
      <w:pPr>
        <w:numPr>
          <w:ilvl w:val="0"/>
          <w:numId w:val="1016"/>
        </w:numPr>
      </w:pPr>
      <w:r>
        <w:t xml:space="preserve">Generar análisis predictivos y prospectivos de resultados de gestión, que son insumos para la toma de decisiones.</w:t>
      </w:r>
    </w:p>
    <w:p>
      <w:pPr>
        <w:numPr>
          <w:ilvl w:val="0"/>
          <w:numId w:val="1016"/>
        </w:numPr>
      </w:pPr>
      <w:r>
        <w:t xml:space="preserve">Contar con disponibilidad de personal adecuado para actualizar plataformas tecnológicas y gestionar las cargas de trabajo.</w:t>
      </w:r>
    </w:p>
    <w:p>
      <w:pPr>
        <w:numPr>
          <w:ilvl w:val="0"/>
          <w:numId w:val="1016"/>
        </w:numPr>
      </w:pPr>
      <w:r>
        <w:t xml:space="preserve">Aprovechar nuevas tecnologías como la Inteligencia Artificial, la minería de datos, el procesamiento del lenguaje, para mejorar los procesos y la relación con la ciudadanía.</w:t>
      </w:r>
    </w:p>
    <w:p>
      <w:pPr>
        <w:numPr>
          <w:ilvl w:val="0"/>
          <w:numId w:val="1016"/>
        </w:numPr>
      </w:pPr>
      <w:r>
        <w:t xml:space="preserve">Abordar los altos costos de la tecnología que limitan la implementación de sistemas avanzados.</w:t>
      </w:r>
    </w:p>
    <w:p>
      <w:pPr>
        <w:numPr>
          <w:ilvl w:val="0"/>
          <w:numId w:val="1016"/>
        </w:numPr>
      </w:pPr>
      <w:r>
        <w:t xml:space="preserve">Fortalecer la ciberseguridad y seguridad de la información para proteger la integridad, disponibilidad y confidencialidad de los datos y prevenir ataques.</w:t>
      </w:r>
    </w:p>
    <w:bookmarkEnd w:id="33"/>
    <w:bookmarkStart w:id="34"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4"/>
    <w:bookmarkEnd w:id="35"/>
    <w:bookmarkStart w:id="36"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6"/>
    <w:bookmarkStart w:id="37"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9"/>
        </w:numPr>
      </w:pPr>
      <w:r>
        <w:t xml:space="preserve">capacitación en nuevas tecnologías y</w:t>
      </w:r>
    </w:p>
    <w:p>
      <w:pPr>
        <w:numPr>
          <w:ilvl w:val="0"/>
          <w:numId w:val="1019"/>
        </w:numPr>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7"/>
    <w:bookmarkStart w:id="38"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 [7].</w:t>
      </w:r>
    </w:p>
    <w:p>
      <w:pPr>
        <w:numPr>
          <w:ilvl w:val="1"/>
          <w:numId w:val="1025"/>
        </w:numPr>
        <w:pStyle w:val="Compact"/>
      </w:pPr>
      <w:r>
        <w:t xml:space="preserve">Falta de un software que permita extraer información dinámica para la toma de decisiones [9].</w:t>
      </w:r>
    </w:p>
    <w:p>
      <w:pPr>
        <w:numPr>
          <w:ilvl w:val="1"/>
          <w:numId w:val="1025"/>
        </w:numPr>
        <w:pStyle w:val="Compact"/>
      </w:pPr>
      <w:r>
        <w:t xml:space="preserve">Se realizan análisis descriptivos, pero no predictivos y prospectivos de los resultados de la gestión, dificultando la toma de decisiones basada en evidencia [10].</w:t>
      </w:r>
    </w:p>
    <w:p>
      <w:pPr>
        <w:numPr>
          <w:ilvl w:val="1"/>
          <w:numId w:val="1025"/>
        </w:numPr>
        <w:pStyle w:val="Compact"/>
      </w:pPr>
      <w:r>
        <w:t xml:space="preserve">Cambios en las plataformas tecnológicas que no interactúan con las anteriores, generando posibles pérdidas de información y reprocesos [11].</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 [12].</w:t>
      </w:r>
    </w:p>
    <w:p>
      <w:pPr>
        <w:numPr>
          <w:ilvl w:val="1"/>
          <w:numId w:val="1026"/>
        </w:numPr>
        <w:pStyle w:val="Compact"/>
      </w:pPr>
      <w:r>
        <w:t xml:space="preserve">Deficiente conectividad y falta de interoperabilidad de las plataformas tecnológicas [13].</w:t>
      </w:r>
    </w:p>
    <w:p>
      <w:pPr>
        <w:numPr>
          <w:ilvl w:val="1"/>
          <w:numId w:val="1026"/>
        </w:numPr>
        <w:pStyle w:val="Compact"/>
      </w:pPr>
      <w:r>
        <w:t xml:space="preserve">Inestabilidad de la conectividad e indisponibilidad de servidores de información, comprometiendo la operatividad y el cumplimiento de metas [14].</w:t>
      </w:r>
    </w:p>
    <w:p>
      <w:pPr>
        <w:numPr>
          <w:ilvl w:val="1"/>
          <w:numId w:val="1026"/>
        </w:numPr>
        <w:pStyle w:val="Compact"/>
      </w:pPr>
      <w:r>
        <w:t xml:space="preserve">Obsolescencia tecnológica generalizada que implica la necesidad de renovación de equipos y dificulta la prestación de servicios [15].</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 [14].</w:t>
      </w:r>
    </w:p>
    <w:p>
      <w:pPr>
        <w:numPr>
          <w:ilvl w:val="1"/>
          <w:numId w:val="1027"/>
        </w:numPr>
        <w:pStyle w:val="Compact"/>
      </w:pPr>
      <w:r>
        <w:t xml:space="preserve">Vulneración de la inviolabilidad de acceso a cuentas de correo institucionales y aplicativos, afectando la reserva de la información [14].</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 [17].</w:t>
      </w:r>
    </w:p>
    <w:p>
      <w:pPr>
        <w:numPr>
          <w:ilvl w:val="1"/>
          <w:numId w:val="1028"/>
        </w:numPr>
        <w:pStyle w:val="Compact"/>
      </w:pPr>
      <w:r>
        <w:t xml:space="preserve">Falta de personal para actualizar las plataformas tecnológicas, lo que genera retrasos en la operación.</w:t>
      </w:r>
    </w:p>
    <w:bookmarkEnd w:id="38"/>
    <w:bookmarkStart w:id="39"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9"/>
    <w:bookmarkEnd w:id="40"/>
    <w:bookmarkStart w:id="47"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41"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1"/>
    <w:bookmarkStart w:id="45"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3" name="Picture"/>
            <a:graphic>
              <a:graphicData uri="http://schemas.openxmlformats.org/drawingml/2006/picture">
                <pic:pic>
                  <pic:nvPicPr>
                    <pic:cNvPr descr="images/06.2n2.1a.SIdelAnalisisdeEntorno.png" id="44" name="Picture"/>
                    <pic:cNvPicPr>
                      <a:picLocks noChangeArrowheads="1" noChangeAspect="1"/>
                    </pic:cNvPicPr>
                  </pic:nvPicPr>
                  <pic:blipFill>
                    <a:blip r:embed="rId42"/>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2: 06.2n2.1a. SI del Analisis de Entorno.</w:t>
      </w:r>
      <w:r>
        <w:t xml:space="preserve"> </w:t>
      </w:r>
      <w:r>
        <w:rPr>
          <w:iCs/>
          <w:i/>
        </w:rPr>
        <w:t xml:space="preserve">Fuente: Proyecto arquitectura empresarial. Arquitectura de Aplicaciones Secretaria General Alcaldía Mayor de Bogotá (2025)</w:t>
      </w:r>
    </w:p>
    <w:bookmarkEnd w:id="45"/>
    <w:bookmarkStart w:id="46"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bl>
    <w:p>
      <w:pPr>
        <w:pStyle w:val="BodyText"/>
      </w:pPr>
      <w:r>
        <w:t xml:space="preserve">|</w:t>
      </w:r>
      <w:r>
        <w:t xml:space="preserve"> </w:t>
      </w:r>
      <w:r>
        <w:t xml:space="preserve">| Sistemas de fortalecimiento de capacidades y conocimiento | Grouping | |</w:t>
      </w:r>
      <w:r>
        <w:t xml:space="preserve"> </w:t>
      </w:r>
      <w:r>
        <w:t xml:space="preserve">| Bogotá Aprende TIC | Application Component | Portal de apoya los procesos de Gobierno abierto y relacionamiento con la ciudadanía, y Fortalecimiento de la Gestión Pública.</w:t>
      </w:r>
      <w:r>
        <w:t xml:space="preserve"> </w:t>
      </w:r>
      <w:r>
        <w:t xml:space="preserve">|</w:t>
      </w:r>
      <w:r>
        <w:t xml:space="preserve"> </w:t>
      </w:r>
      <w:r>
        <w:t xml:space="preserve">| GLOBO | Application Component | Registro de acciones de cooperación internacional. Utilizado en el proceso de Fortalecimiento de la Gestión Pública.</w:t>
      </w:r>
      <w:r>
        <w:t xml:space="preserve"> </w:t>
      </w:r>
      <w:r>
        <w:t xml:space="preserve">|</w:t>
      </w:r>
      <w:r>
        <w:t xml:space="preserve"> </w:t>
      </w:r>
      <w:r>
        <w:t xml:space="preserve">| SUDIVC | Application Component | Sistema Unificado Distrital de Inspección, Vigilancia y Control – SUDIVC.</w:t>
      </w:r>
      <w:r>
        <w:t xml:space="preserve"> </w:t>
      </w:r>
      <w:r>
        <w:t xml:space="preserve">|</w:t>
      </w:r>
      <w:r>
        <w:t xml:space="preserve"> </w:t>
      </w:r>
      <w:r>
        <w:t xml:space="preserve">| HUMANAPP | Application Component | Apoya la gestión del talento humano. Aplicativo de generación de desprendibles de pago para funcionarios y certificaciones laborales, de seguridad social y de ingresos y retenciones.</w:t>
      </w:r>
      <w:r>
        <w:t xml:space="preserve"> </w:t>
      </w:r>
      <w:r>
        <w:t xml:space="preserve">|</w:t>
      </w:r>
      <w:r>
        <w:t xml:space="preserve"> </w:t>
      </w:r>
      <w:r>
        <w:t xml:space="preserve">| SIAB (El COFRE) | Application Component | 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r>
        <w:t xml:space="preserve"> </w:t>
      </w:r>
      <w:r>
        <w:t xml:space="preserve">|</w:t>
      </w:r>
      <w:r>
        <w:t xml:space="preserve"> </w:t>
      </w:r>
      <w:r>
        <w:t xml:space="preserve">| KOHA | Application Component | Sistema Integrado de Gestión de Bibliotecas. Relacionado con la Gestión del conocimiento.</w:t>
      </w:r>
      <w:r>
        <w:t xml:space="preserve"> </w:t>
      </w:r>
      <w:r>
        <w:t xml:space="preserve">|</w:t>
      </w:r>
      <w:r>
        <w:t xml:space="preserve"> </w:t>
      </w:r>
      <w:r>
        <w:t xml:space="preserve">| Data Warehouse | Application Component | Almacenes de datos de trabajo de SG. Bodega de datos con diversas fuentes de información para el análisis y transformación de datos de interés.</w:t>
      </w:r>
      <w:r>
        <w:t xml:space="preserve"> </w:t>
      </w:r>
      <w:r>
        <w:t xml:space="preserve">|</w:t>
      </w:r>
      <w:r>
        <w:t xml:space="preserve"> </w:t>
      </w:r>
      <w:r>
        <w:t xml:space="preserve">| Gestión Académica | Application Component | Moodle para capacitación de servidores de la Entidad en diferentes temas. Relacionado con la Gestión del conocimiento.</w:t>
      </w:r>
      <w:r>
        <w:t xml:space="preserve"> </w:t>
      </w:r>
      <w:r>
        <w:t xml:space="preserve">|</w:t>
      </w:r>
      <w:r>
        <w:t xml:space="preserve"> </w:t>
      </w:r>
      <w:r>
        <w:t xml:space="preserve">| SIVIC | Application Component | 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r>
        <w:t xml:space="preserve"> </w:t>
      </w:r>
      <w:r>
        <w:t xml:space="preserve">|</w:t>
      </w:r>
      <w:r>
        <w:t xml:space="preserve"> </w:t>
      </w:r>
      <w:r>
        <w:t xml:space="preserve">| AVANTI | Application Component | Sistema de Información para registrar avance de programación y seguimiento de metas plan de desarrollo de las entidades distritales SDARIV relacionadas con atención integral a las víctimas.</w:t>
      </w:r>
      <w:r>
        <w:t xml:space="preserve"> </w:t>
      </w:r>
      <w:r>
        <w:t xml:space="preserve">|</w:t>
      </w:r>
      <w:r>
        <w:t xml:space="preserve"> </w:t>
      </w:r>
      <w:r>
        <w:t xml:space="preserve">| 4204000-GS-006 Guía de Arquitectura | Artifact | 4204000-GS-006 Guía de Arquitectura de Software para Soluciones Tecnológicas.</w:t>
      </w:r>
      <w:r>
        <w:t xml:space="preserve"> </w:t>
      </w:r>
      <w:r>
        <w:t xml:space="preserve">|</w:t>
      </w:r>
      <w:r>
        <w:t xml:space="preserve"> </w:t>
      </w:r>
      <w:r>
        <w:t xml:space="preserve">| 4204000-OT-047 Estándares nomenclatura | Artifact | 4204000-OT-047 Estándares de nomenclatura para el desarrollo de aplicaciones en ambientes de bases de datos.</w:t>
      </w:r>
      <w:r>
        <w:t xml:space="preserve"> </w:t>
      </w:r>
      <w:r>
        <w:t xml:space="preserve">|</w:t>
      </w:r>
      <w:r>
        <w:t xml:space="preserve"> </w:t>
      </w:r>
      <w:r>
        <w:t xml:space="preserve">| 4204000-GS-108 Guía desarrollo y mantenimiento | Artifact | 4204000-GS-108 Guía Metodológica para el desarrollo y mantenimiento de soluciones de software</w:t>
      </w:r>
      <w:r>
        <w:t xml:space="preserve"> </w:t>
      </w:r>
      <w:r>
        <w:t xml:space="preserve">|</w:t>
      </w:r>
      <w:r>
        <w:t xml:space="preserve"> </w:t>
      </w:r>
      <w:r>
        <w:t xml:space="preserve">| Sistemas de desarrollo | Grouping | |</w:t>
      </w:r>
      <w:r>
        <w:t xml:space="preserve"> </w:t>
      </w:r>
      <w:r>
        <w:t xml:space="preserve">| Gitlab | Application Component | Plataforma de desarrollo de software y colaboración.</w:t>
      </w:r>
      <w:r>
        <w:t xml:space="preserve"> </w:t>
      </w:r>
      <w:r>
        <w:t xml:space="preserve">|</w:t>
      </w:r>
      <w:r>
        <w:t xml:space="preserve"> </w:t>
      </w:r>
      <w:r>
        <w:t xml:space="preserve">| Ofimática y colaboración | Grouping | |</w:t>
      </w:r>
      <w:r>
        <w:t xml:space="preserve"> </w:t>
      </w:r>
      <w:r>
        <w:t xml:space="preserve">| Office 365 | Application Component | Herramientas de ofimática y colaboración SG.</w:t>
      </w:r>
      <w:r>
        <w:t xml:space="preserve"> </w:t>
      </w:r>
      <w:r>
        <w:t xml:space="preserve">|</w:t>
      </w:r>
    </w:p>
    <w:p>
      <w:pPr>
        <w:pStyle w:val="BodyText"/>
      </w:pPr>
      <w:r>
        <w:t xml:space="preserve">Table: Elementos de la vista. {#tbl:tblelement-06.2n2.1a.SIdelAnalisisdeEntorno-id}</w:t>
      </w:r>
    </w:p>
    <w:p>
      <w:pPr>
        <w:pStyle w:val="BodyText"/>
      </w:pPr>
    </w:p>
    <w:bookmarkEnd w:id="46"/>
    <w:bookmarkEnd w:id="47"/>
    <w:bookmarkStart w:id="104"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49" name="Picture"/>
            <a:graphic>
              <a:graphicData uri="http://schemas.openxmlformats.org/drawingml/2006/picture">
                <pic:pic>
                  <pic:nvPicPr>
                    <pic:cNvPr descr="images/06.2n3.a.AplicacionesyProcesos.png" id="50" name="Picture"/>
                    <pic:cNvPicPr>
                      <a:picLocks noChangeArrowheads="1" noChangeAspect="1"/>
                    </pic:cNvPicPr>
                  </pic:nvPicPr>
                  <pic:blipFill>
                    <a:blip r:embed="rId48"/>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3: 06.2n3.a. Aplicaciones y Procesos.</w:t>
      </w:r>
      <w:r>
        <w:t xml:space="preserve"> </w:t>
      </w:r>
      <w:r>
        <w:rPr>
          <w:iCs/>
          <w:i/>
        </w:rPr>
        <w:t xml:space="preserve">Fuente: Proyecto arquitectura empresarial. Arquitectura de Aplicaciones Secretaria General Alcaldía Mayor de Bogotá (2025)</w:t>
      </w:r>
    </w:p>
    <w:bookmarkStart w:id="51" w:name="sec:divulgación-de-información-pública"/>
    <w:p>
      <w:pPr>
        <w:pStyle w:val="Heading3"/>
      </w:pPr>
      <w:r>
        <w:t xml:space="preserve">Divulgación de Información Pública</w:t>
      </w:r>
    </w:p>
    <w:p>
      <w:pPr>
        <w:pStyle w:val="FirstParagraph"/>
      </w:pPr>
      <w:r>
        <w:t xml:space="preserve">Proceso de negocio para la difusión optimizada de información a través de sistemas digitales.</w:t>
      </w:r>
    </w:p>
    <w:bookmarkEnd w:id="51"/>
    <w:bookmarkStart w:id="52" w:name="Xffdf7e04ff7bc4be95b416eedd8f2c69736ca8c"/>
    <w:p>
      <w:pPr>
        <w:pStyle w:val="Heading3"/>
      </w:pPr>
      <w:r>
        <w:t xml:space="preserve">Evaluación del sistema de control interno</w:t>
      </w:r>
    </w:p>
    <w:p>
      <w:pPr>
        <w:pStyle w:val="FirstParagraph"/>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bookmarkEnd w:id="52"/>
    <w:bookmarkStart w:id="53" w:name="sec:direccionamiento-estratégico"/>
    <w:p>
      <w:pPr>
        <w:pStyle w:val="Heading3"/>
      </w:pPr>
      <w:r>
        <w:t xml:space="preserve">Direccionamiento Estratégico</w:t>
      </w:r>
    </w:p>
    <w:p>
      <w:pPr>
        <w:pStyle w:val="FirstParagraph"/>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bookmarkEnd w:id="53"/>
    <w:bookmarkStart w:id="54" w:name="sec:control-disciplinario"/>
    <w:p>
      <w:pPr>
        <w:pStyle w:val="Heading3"/>
      </w:pPr>
      <w:r>
        <w:t xml:space="preserve">Control Disciplinario</w:t>
      </w:r>
    </w:p>
    <w:p>
      <w:pPr>
        <w:pStyle w:val="FirstParagraph"/>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bookmarkEnd w:id="54"/>
    <w:bookmarkStart w:id="55" w:name="sec:gestión-del-conocimiento"/>
    <w:p>
      <w:pPr>
        <w:pStyle w:val="Heading3"/>
      </w:pPr>
      <w:r>
        <w:t xml:space="preserve">Gestión del Conocimiento</w:t>
      </w:r>
    </w:p>
    <w:p>
      <w:pPr>
        <w:pStyle w:val="FirstParagraph"/>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bookmarkEnd w:id="55"/>
    <w:bookmarkStart w:id="56" w:name="sec:gestión-del-talento-humano"/>
    <w:p>
      <w:pPr>
        <w:pStyle w:val="Heading3"/>
      </w:pPr>
      <w:r>
        <w:t xml:space="preserve">Gestión del Talento Humano</w:t>
      </w:r>
    </w:p>
    <w:p>
      <w:pPr>
        <w:pStyle w:val="FirstParagraph"/>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bookmarkEnd w:id="56"/>
    <w:bookmarkStart w:id="57" w:name="Xdcf30deeacb83d50dd53f0fc22f787ea15a836d"/>
    <w:p>
      <w:pPr>
        <w:pStyle w:val="Heading3"/>
      </w:pPr>
      <w:r>
        <w:t xml:space="preserve">Prestación de trámites y servicios a la ciudadanía</w:t>
      </w:r>
    </w:p>
    <w:p>
      <w:pPr>
        <w:pStyle w:val="FirstParagraph"/>
      </w:pPr>
      <w:r>
        <w:t xml:space="preserve">Proceso central para la interacción con los ciudadanos.</w:t>
      </w:r>
    </w:p>
    <w:bookmarkEnd w:id="57"/>
    <w:bookmarkStart w:id="58" w:name="X5eb31501311465b458ea77099c9ded67a9909c6"/>
    <w:p>
      <w:pPr>
        <w:pStyle w:val="Heading3"/>
      </w:pPr>
      <w:r>
        <w:t xml:space="preserve">Gestión estratégica de comunicación e información</w:t>
      </w:r>
    </w:p>
    <w:p>
      <w:pPr>
        <w:pStyle w:val="FirstParagraph"/>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bookmarkEnd w:id="58"/>
    <w:bookmarkStart w:id="59" w:name="sec:gestión-financiera"/>
    <w:p>
      <w:pPr>
        <w:pStyle w:val="Heading3"/>
      </w:pPr>
      <w:r>
        <w:t xml:space="preserve">Gestión Financiera</w:t>
      </w:r>
    </w:p>
    <w:p>
      <w:pPr>
        <w:pStyle w:val="FirstParagraph"/>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bookmarkEnd w:id="59"/>
    <w:bookmarkStart w:id="60" w:name="sec:gestión-de-contratación"/>
    <w:p>
      <w:pPr>
        <w:pStyle w:val="Heading3"/>
      </w:pPr>
      <w:r>
        <w:t xml:space="preserve">Gestión de Contratación</w:t>
      </w:r>
    </w:p>
    <w:p>
      <w:pPr>
        <w:pStyle w:val="FirstParagraph"/>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bookmarkEnd w:id="60"/>
    <w:bookmarkStart w:id="61" w:name="X33733071f3fc2e7bfa3ab5dfdfe0de093ce6bad"/>
    <w:p>
      <w:pPr>
        <w:pStyle w:val="Heading3"/>
      </w:pPr>
      <w:r>
        <w:t xml:space="preserve">Gobierno Abierto y Relacionamiento con la Ciudadanía</w:t>
      </w:r>
    </w:p>
    <w:p>
      <w:pPr>
        <w:pStyle w:val="FirstParagraph"/>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bookmarkEnd w:id="61"/>
    <w:bookmarkStart w:id="62" w:name="sec:gestión-de-recursos-físicos"/>
    <w:p>
      <w:pPr>
        <w:pStyle w:val="Heading3"/>
      </w:pPr>
      <w:r>
        <w:t xml:space="preserve">Gestión de Recursos Físicos</w:t>
      </w:r>
    </w:p>
    <w:p>
      <w:pPr>
        <w:pStyle w:val="FirstParagraph"/>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bookmarkEnd w:id="62"/>
    <w:bookmarkStart w:id="63" w:name="sec:procesos-de-apoyo-a-la-gestión"/>
    <w:p>
      <w:pPr>
        <w:pStyle w:val="Heading3"/>
      </w:pPr>
      <w:r>
        <w:t xml:space="preserve">Procesos de apoyo a la gestión</w:t>
      </w:r>
    </w:p>
    <w:p>
      <w:pPr>
        <w:pStyle w:val="FirstParagraph"/>
      </w:pPr>
      <w:r>
        <w:t xml:space="preserve">Procesos internos que facilitan la operación de la entidad.</w:t>
      </w:r>
    </w:p>
    <w:bookmarkEnd w:id="63"/>
    <w:bookmarkStart w:id="64" w:name="sec:gestión-jurídica"/>
    <w:p>
      <w:pPr>
        <w:pStyle w:val="Heading3"/>
      </w:pPr>
      <w:r>
        <w:t xml:space="preserve">Gestión Jurídica</w:t>
      </w:r>
    </w:p>
    <w:p>
      <w:pPr>
        <w:pStyle w:val="FirstParagraph"/>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bookmarkEnd w:id="64"/>
    <w:bookmarkStart w:id="65" w:name="X140be3f316956ab45b9c38bcb577ba031b2dad9"/>
    <w:p>
      <w:pPr>
        <w:pStyle w:val="Heading3"/>
      </w:pPr>
      <w:r>
        <w:t xml:space="preserve">Análisis de Datos para Toma de Decisiones</w:t>
      </w:r>
    </w:p>
    <w:p>
      <w:pPr>
        <w:pStyle w:val="FirstParagraph"/>
      </w:pPr>
      <w:r>
        <w:t xml:space="preserve">Proceso de negocio que utiliza software especializado para el análisis de datos.</w:t>
      </w:r>
    </w:p>
    <w:bookmarkEnd w:id="65"/>
    <w:bookmarkStart w:id="66" w:name="X4a7261ab7bd2accd9ed85a0e0e675f602c269d8"/>
    <w:p>
      <w:pPr>
        <w:pStyle w:val="Heading3"/>
      </w:pPr>
      <w:r>
        <w:t xml:space="preserve">Gestión de Servicios Administrativos y Tecnológicos</w:t>
      </w:r>
    </w:p>
    <w:p>
      <w:pPr>
        <w:pStyle w:val="FirstParagraph"/>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bookmarkEnd w:id="66"/>
    <w:bookmarkStart w:id="67" w:name="sec:paz-víctimas-y-reconciliación"/>
    <w:p>
      <w:pPr>
        <w:pStyle w:val="Heading3"/>
      </w:pPr>
      <w:r>
        <w:t xml:space="preserve">Paz, Víctimas y Reconciliación</w:t>
      </w:r>
    </w:p>
    <w:p>
      <w:pPr>
        <w:pStyle w:val="FirstParagraph"/>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bookmarkEnd w:id="67"/>
    <w:bookmarkStart w:id="68" w:name="X38c705f0f81177d8dd73b6db46f016faa78b207"/>
    <w:p>
      <w:pPr>
        <w:pStyle w:val="Heading3"/>
      </w:pPr>
      <w:r>
        <w:t xml:space="preserve">Fortalecimiento de la Gestión Pública</w:t>
      </w:r>
    </w:p>
    <w:p>
      <w:pPr>
        <w:pStyle w:val="FirstParagraph"/>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bookmarkEnd w:id="68"/>
    <w:bookmarkStart w:id="69" w:name="Xc55d51a0d38627deac49f8c35127cea17a89c50"/>
    <w:p>
      <w:pPr>
        <w:pStyle w:val="Heading3"/>
      </w:pPr>
      <w:r>
        <w:t xml:space="preserve">Gestión de alianzas e internacionalización de Bogotá</w:t>
      </w:r>
    </w:p>
    <w:p>
      <w:pPr>
        <w:pStyle w:val="FirstParagraph"/>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bookmarkEnd w:id="69"/>
    <w:bookmarkStart w:id="70" w:name="sec:gestión-de-información-interna"/>
    <w:p>
      <w:pPr>
        <w:pStyle w:val="Heading3"/>
      </w:pPr>
      <w:r>
        <w:t xml:space="preserve">Gestión de Información Interna</w:t>
      </w:r>
    </w:p>
    <w:p>
      <w:pPr>
        <w:pStyle w:val="FirstParagraph"/>
      </w:pPr>
      <w:r>
        <w:t xml:space="preserve">Proceso de recolección, procesamiento y distribución de información dentro de la entidad.</w:t>
      </w:r>
    </w:p>
    <w:bookmarkEnd w:id="70"/>
    <w:bookmarkStart w:id="71" w:name="sec:gestión-de-trámites-ciudadanos"/>
    <w:p>
      <w:pPr>
        <w:pStyle w:val="Heading3"/>
      </w:pPr>
      <w:r>
        <w:t xml:space="preserve">Gestión de Trámites Ciudadanos</w:t>
      </w:r>
    </w:p>
    <w:p>
      <w:pPr>
        <w:pStyle w:val="FirstParagraph"/>
      </w:pPr>
      <w:r>
        <w:t xml:space="preserve">Proceso de atención y resolución de solicitudes y gestiones de los ciudadanos.</w:t>
      </w:r>
    </w:p>
    <w:bookmarkEnd w:id="71"/>
    <w:bookmarkStart w:id="72"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72"/>
    <w:bookmarkStart w:id="73"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73"/>
    <w:bookmarkStart w:id="7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74"/>
    <w:bookmarkStart w:id="7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75"/>
    <w:bookmarkStart w:id="7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76"/>
    <w:bookmarkStart w:id="77"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77"/>
    <w:bookmarkStart w:id="78" w:name="sec:sudivc"/>
    <w:p>
      <w:pPr>
        <w:pStyle w:val="Heading3"/>
      </w:pPr>
      <w:r>
        <w:t xml:space="preserve">SUDIVC</w:t>
      </w:r>
    </w:p>
    <w:p>
      <w:pPr>
        <w:pStyle w:val="FirstParagraph"/>
      </w:pPr>
      <w:r>
        <w:t xml:space="preserve">Sistema Unificado Distrital de Inspección, Vigilancia y Control – SUDIVC.</w:t>
      </w:r>
    </w:p>
    <w:bookmarkEnd w:id="78"/>
    <w:bookmarkStart w:id="79"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79"/>
    <w:bookmarkStart w:id="80" w:name="sec:sat-web"/>
    <w:p>
      <w:pPr>
        <w:pStyle w:val="Heading3"/>
      </w:pPr>
      <w:r>
        <w:t xml:space="preserve">SAT Web</w:t>
      </w:r>
    </w:p>
    <w:p>
      <w:pPr>
        <w:pStyle w:val="FirstParagraph"/>
      </w:pPr>
      <w:r>
        <w:t xml:space="preserve">Sistema de Asignación de Turnos en los puntos de atención a la ciudadanía (Red Cade).</w:t>
      </w:r>
    </w:p>
    <w:bookmarkEnd w:id="80"/>
    <w:bookmarkStart w:id="81"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1"/>
    <w:bookmarkStart w:id="82"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82"/>
    <w:bookmarkStart w:id="83"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3"/>
    <w:bookmarkStart w:id="84"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4"/>
    <w:bookmarkStart w:id="85"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85"/>
    <w:bookmarkStart w:id="86" w:name="sec:administrativo-y-financiero"/>
    <w:p>
      <w:pPr>
        <w:pStyle w:val="Heading3"/>
      </w:pPr>
      <w:r>
        <w:t xml:space="preserve">Administrativo y Financiero</w:t>
      </w:r>
    </w:p>
    <w:p>
      <w:pPr>
        <w:pStyle w:val="FirstParagraph"/>
      </w:pPr>
      <w:r>
        <w:t xml:space="preserve">Grupo de sistema de soporte a la gestión financiera, gestión de servicios administrativos, tecnológicos, y gestión de recursos físicos.</w:t>
      </w:r>
    </w:p>
    <w:bookmarkEnd w:id="86"/>
    <w:bookmarkStart w:id="87" w:name="sec:siga"/>
    <w:p>
      <w:pPr>
        <w:pStyle w:val="Heading3"/>
      </w:pPr>
      <w:r>
        <w:t xml:space="preserve">SIGA</w:t>
      </w:r>
    </w:p>
    <w:p>
      <w:pPr>
        <w:pStyle w:val="FirstParagraph"/>
      </w:pPr>
      <w:r>
        <w:t xml:space="preserve">Sistema Integrado de Gestión Documental, Archivo y Correspondencia.</w:t>
      </w:r>
    </w:p>
    <w:bookmarkEnd w:id="87"/>
    <w:bookmarkStart w:id="88"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88"/>
    <w:bookmarkStart w:id="89" w:name="sec:koha"/>
    <w:p>
      <w:pPr>
        <w:pStyle w:val="Heading3"/>
      </w:pPr>
      <w:r>
        <w:t xml:space="preserve">KOHA</w:t>
      </w:r>
    </w:p>
    <w:p>
      <w:pPr>
        <w:pStyle w:val="FirstParagraph"/>
      </w:pPr>
      <w:r>
        <w:t xml:space="preserve">Sistema Integrado de Gestión de Bibliotecas. Relacionado con la Gestión del conocimiento.</w:t>
      </w:r>
    </w:p>
    <w:bookmarkEnd w:id="89"/>
    <w:bookmarkStart w:id="90"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90"/>
    <w:bookmarkStart w:id="91" w:name="sec:chat-bot"/>
    <w:p>
      <w:pPr>
        <w:pStyle w:val="Heading3"/>
      </w:pPr>
      <w:r>
        <w:t xml:space="preserve">Chat-Bot</w:t>
      </w:r>
    </w:p>
    <w:p>
      <w:pPr>
        <w:pStyle w:val="FirstParagraph"/>
      </w:pPr>
      <w:r>
        <w:t xml:space="preserve">Canal web de atención a ciudadanía.</w:t>
      </w:r>
    </w:p>
    <w:bookmarkEnd w:id="91"/>
    <w:bookmarkStart w:id="92" w:name="sec:comisiones"/>
    <w:p>
      <w:pPr>
        <w:pStyle w:val="Heading3"/>
      </w:pPr>
      <w:r>
        <w:t xml:space="preserve">Comisiones</w:t>
      </w:r>
    </w:p>
    <w:p>
      <w:pPr>
        <w:pStyle w:val="FirstParagraph"/>
      </w:pPr>
      <w:r>
        <w:t xml:space="preserve">Sesión levantamiento no. 1.</w:t>
      </w:r>
    </w:p>
    <w:bookmarkEnd w:id="92"/>
    <w:bookmarkStart w:id="93" w:name="sec:integrador-de-servicios-ciudadanos"/>
    <w:p>
      <w:pPr>
        <w:pStyle w:val="Heading3"/>
      </w:pPr>
      <w:r>
        <w:t xml:space="preserve">Integrador de Servicios Ciudadanos</w:t>
      </w:r>
    </w:p>
    <w:p>
      <w:pPr>
        <w:pStyle w:val="FirstParagraph"/>
      </w:pPr>
      <w:r>
        <w:t xml:space="preserve">Plataforma unificada para acceder a servicios y trámites ciudadanos.</w:t>
      </w:r>
    </w:p>
    <w:bookmarkEnd w:id="93"/>
    <w:bookmarkStart w:id="94" w:name="sec:línea-195"/>
    <w:p>
      <w:pPr>
        <w:pStyle w:val="Heading3"/>
      </w:pPr>
      <w:r>
        <w:t xml:space="preserve">Línea 195</w:t>
      </w:r>
    </w:p>
    <w:p>
      <w:pPr>
        <w:pStyle w:val="FirstParagraph"/>
      </w:pPr>
      <w:r>
        <w:t xml:space="preserve">Canal telefónico de atención a ciudadanía.</w:t>
      </w:r>
    </w:p>
    <w:bookmarkEnd w:id="94"/>
    <w:bookmarkStart w:id="95" w:name="sec:moviapp"/>
    <w:p>
      <w:pPr>
        <w:pStyle w:val="Heading3"/>
      </w:pPr>
      <w:r>
        <w:t xml:space="preserve">MoviApp</w:t>
      </w:r>
    </w:p>
    <w:p>
      <w:pPr>
        <w:pStyle w:val="FirstParagraph"/>
      </w:pPr>
      <w:r>
        <w:t xml:space="preserve">Canal móvil de atención a ciudadanía. Sesión levantamiento no. 2.</w:t>
      </w:r>
    </w:p>
    <w:bookmarkEnd w:id="95"/>
    <w:bookmarkStart w:id="96" w:name="sec:office-365"/>
    <w:p>
      <w:pPr>
        <w:pStyle w:val="Heading3"/>
      </w:pPr>
      <w:r>
        <w:t xml:space="preserve">Office 365</w:t>
      </w:r>
    </w:p>
    <w:p>
      <w:pPr>
        <w:pStyle w:val="FirstParagraph"/>
      </w:pPr>
      <w:r>
        <w:t xml:space="preserve">Herramientas de ofimática y colaboración SG.</w:t>
      </w:r>
    </w:p>
    <w:bookmarkEnd w:id="96"/>
    <w:bookmarkStart w:id="97" w:name="sec:pandora"/>
    <w:p>
      <w:pPr>
        <w:pStyle w:val="Heading3"/>
      </w:pPr>
      <w:r>
        <w:t xml:space="preserve">PANDORA</w:t>
      </w:r>
    </w:p>
    <w:p>
      <w:pPr>
        <w:pStyle w:val="FirstParagraph"/>
      </w:pPr>
      <w:r>
        <w:t xml:space="preserve">Implementación de temas precontractual y planeación.</w:t>
      </w:r>
    </w:p>
    <w:bookmarkEnd w:id="97"/>
    <w:bookmarkStart w:id="98"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98"/>
    <w:bookmarkStart w:id="99" w:name="sec:portal-bogotá-capital-digital-1"/>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99"/>
    <w:bookmarkStart w:id="100" w:name="sec:datos-para-transparencia-sati-1"/>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100"/>
    <w:bookmarkStart w:id="101"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101"/>
    <w:bookmarkStart w:id="102"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102"/>
    <w:bookmarkStart w:id="103" w:name="sec:supercade-virtual"/>
    <w:p>
      <w:pPr>
        <w:pStyle w:val="Heading3"/>
      </w:pPr>
      <w:r>
        <w:t xml:space="preserve">SuperCADE Virtual</w:t>
      </w:r>
    </w:p>
    <w:p>
      <w:pPr>
        <w:pStyle w:val="FirstParagraph"/>
      </w:pPr>
      <w:r>
        <w:t xml:space="preserve">Red de canales presenciales de atención a ciudadanía.</w:t>
      </w:r>
    </w:p>
    <w:bookmarkEnd w:id="103"/>
    <w:bookmarkEnd w:id="104"/>
    <w:bookmarkEnd w:id="10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2025-08-13T16:52:43Z</dcterms:created>
  <dcterms:modified xsi:type="dcterms:W3CDTF">2025-08-13T16:52:43Z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