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sec:dominio-de-aplicaciones-sg"/>
    <w:p>
      <w:pPr>
        <w:pStyle w:val="Heading1"/>
      </w:pPr>
      <w:r>
        <w:t xml:space="preserve">Dominio de Aplicaciones SG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Arquitectura Empresarial SG. Ingenium. 2025 Dominio de Sistemas y Aplicaciones de Software. Sistemas de información del análisis de entorno.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943600" cy="6924854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X795f6c874a27ed7c9e7402c08ac85bb47eefe04"/>
    <w:p>
      <w:pPr>
        <w:pStyle w:val="Heading2"/>
      </w:pPr>
      <w:r>
        <w:t xml:space="preserve">Alineación de aplicaciones de software con los procesos SG</w:t>
      </w:r>
    </w:p>
    <w:p>
      <w:pPr>
        <w:pStyle w:val="FirstParagraph"/>
      </w:pPr>
    </w:p>
    <w:p>
      <w:pPr>
        <w:pStyle w:val="BodyText"/>
      </w:pPr>
      <w:r>
        <w:t xml:space="preserve">La Secretaría General cuenta con sistemas de información que soportan las actividades gestionadas por los procesos misionales, estratégicos, de apoyo y de evaluación y control. Del análisis de fuentes y levantamientos de información presentamos la alineación entre las aplicaciones de software de SG, los procesos de negocio y el estado actual.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20"/>
        <w:gridCol w:w="2370"/>
        <w:gridCol w:w="39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 de 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Disciplinario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del Sistema de Control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Jurídica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contratación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(Gestión Contractual)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(Facturación, LIMAY, Gestión Contractual, SIPRES)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GitLab, 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servicios administrativos y 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SAI,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recursos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(Inventario, SAI SAE, Control de vehículos)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Administrativo y Financiero (PERNO)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tecnológica para optimizar el rendimiento y acceso al sistema de información y 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Vincular más Fuentes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Gobierno abierto y relacionamiento con la 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Paz, víctimas y reconciliación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SIAB (Cofre)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para la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de la Gestión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y con proveedor externo para el caso de Emlaze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Direccionamiento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 con proveedor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estratégica de comunicación 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Documental - 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 la versión de la aplicación y su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Fortalecimiento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alianzas e internacionalización de Bogotá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del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Atención de requerimientos a demanda</w:t>
            </w:r>
          </w:p>
        </w:tc>
      </w:tr>
    </w:tbl>
    <w:p>
      <w:pPr>
        <w:pStyle w:val="BodyText"/>
      </w:pPr>
      <w:r>
        <w:t xml:space="preserve">Es importante destacar que el sistema Integrado de Gestión de Calidad DARUMA, el Sistema de Gestión de Incidentes y Solicitudes GLPI, y el Sistema de Gestión Documental SIGA, son sistemas transversales que soportan todos los procesos de la Secretaría General de la Alcaldía Mayor de Bogotá D.C..</w:t>
      </w:r>
    </w:p>
    <w:p>
      <w:pPr>
        <w:pStyle w:val="CaptionedFigure"/>
      </w:pPr>
      <w:r>
        <w:drawing>
          <wp:inline>
            <wp:extent cx="5943600" cy="4987537"/>
            <wp:effectExtent b="0" l="0" r="0" t="0"/>
            <wp:docPr descr="06.2n3.a.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06.2n3.a.Aplicaciones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AB0892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2AA4586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5D4C8BE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D1D8E7D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1C8213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E4ECC0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C14ABB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037C2D84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CB22695C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ADC9AC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A65EE904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5B8EC7C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64356724" w:numId="1">
    <w:abstractNumId w:val="10"/>
  </w:num>
  <w:num w16cid:durableId="113401524" w:numId="2">
    <w:abstractNumId w:val="0"/>
  </w:num>
  <w:num w16cid:durableId="1405177949" w:numId="3">
    <w:abstractNumId w:val="1"/>
  </w:num>
  <w:num w16cid:durableId="716123686" w:numId="4">
    <w:abstractNumId w:val="2"/>
  </w:num>
  <w:num w16cid:durableId="1033850677" w:numId="5">
    <w:abstractNumId w:val="3"/>
  </w:num>
  <w:num w16cid:durableId="920456473" w:numId="6">
    <w:abstractNumId w:val="8"/>
  </w:num>
  <w:num w16cid:durableId="234585026" w:numId="7">
    <w:abstractNumId w:val="4"/>
  </w:num>
  <w:num w16cid:durableId="301228998" w:numId="8">
    <w:abstractNumId w:val="5"/>
  </w:num>
  <w:num w16cid:durableId="1272786476" w:numId="9">
    <w:abstractNumId w:val="6"/>
  </w:num>
  <w:num w16cid:durableId="669790401" w:numId="10">
    <w:abstractNumId w:val="7"/>
  </w:num>
  <w:num w16cid:durableId="1869178267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basedOn w:val="TableNormal"/>
    <w:semiHidden/>
    <w:unhideWhenUsed/>
    <w:qFormat/>
    <w:rsid w:val="00547D0B"/>
    <w:rPr>
      <w:rFonts w:ascii="Times New Roman" w:hAnsi="Times New Roman"/>
      <w:sz w:val="18"/>
      <w:szCs w:val="20"/>
      <w:lang w:val="en"/>
    </w:rPr>
    <w:tblPr>
      <w:tblBorders>
        <w:top w:color="BFBFBF" w:space="0" w:sz="2" w:themeColor="background1" w:themeShade="BF" w:val="single"/>
        <w:left w:color="BFBFBF" w:space="0" w:sz="2" w:themeColor="background1" w:themeShade="BF" w:val="single"/>
        <w:bottom w:color="BFBFBF" w:space="0" w:sz="2" w:themeColor="background1" w:themeShade="BF" w:val="single"/>
        <w:right w:color="BFBFBF" w:space="0" w:sz="2" w:themeColor="background1" w:themeShade="BF" w:val="single"/>
        <w:insideH w:color="BFBFBF" w:space="0" w:sz="2" w:themeColor="background1" w:themeShade="BF" w:val="single"/>
        <w:insideV w:color="BFBFBF" w:space="0" w:sz="2" w:themeColor="background1" w:themeShade="BF" w:val="single"/>
      </w:tblBorders>
    </w:tblPr>
    <w:tcPr>
      <w:shd w:color="auto" w:fill="auto" w:val="clear"/>
    </w:tcPr>
    <w:tblStylePr w:type="firstRow">
      <w:rPr>
        <w:rFonts w:ascii="Times New Roman" w:hAnsi="Times New Roman"/>
        <w:b/>
        <w:bCs/>
        <w:color w:themeColor="background1" w:val="FFFFFF"/>
        <w:sz w:val="18"/>
      </w:rPr>
      <w:tblPr/>
      <w:tcPr>
        <w:tc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6" w:val="single"/>
          <w:insideV w:color="auto" w:space="0" w:sz="6" w:val="single"/>
          <w:tl2br w:val="nil"/>
          <w:tr2bl w:val="nil"/>
        </w:tcBorders>
        <w:shd w:color="auto" w:fill="1F497D" w:themeFill="text2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BE4DDE"/>
    <w:rPr>
      <w:rFonts w:ascii="Roboto" w:hAnsi="Roboto"/>
      <w:iCs/>
      <w:color w:themeColor="text2" w:val="1F497D"/>
      <w:sz w:val="18"/>
      <w:szCs w:val="18"/>
      <w:lang w:val="e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ListTable3-Accent1" w:type="table">
    <w:name w:val="List Table 3 Accent 1"/>
    <w:basedOn w:val="TableNormal"/>
    <w:uiPriority w:val="48"/>
    <w:rsid w:val="006F0EDA"/>
    <w:pPr>
      <w:spacing w:after="0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styleId="ListBullet2" w:type="paragraph">
    <w:name w:val="List Bullet 2"/>
    <w:basedOn w:val="Normal"/>
    <w:semiHidden/>
    <w:unhideWhenUsed/>
    <w:rsid w:val="00BE4DDE"/>
    <w:pPr>
      <w:numPr>
        <w:numId w:val="10"/>
      </w:numPr>
      <w:contextualSpacing/>
    </w:pPr>
  </w:style>
  <w:style w:customStyle="1" w:styleId="BodyTextChar" w:type="character">
    <w:name w:val="Body Text Char"/>
    <w:basedOn w:val="DefaultParagraphFont"/>
    <w:link w:val="BodyText"/>
    <w:rsid w:val="00BE4DDE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2025-08-04T04:16:26Z</dcterms:created>
  <dcterms:modified xsi:type="dcterms:W3CDTF">2025-08-04T04:16:26Z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