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y caracterizar las aplicaciones de software que soportan las capacidades de negocio de la Secretaría General.</w:t>
      </w:r>
    </w:p>
    <w:p>
      <w:pPr>
        <w:numPr>
          <w:ilvl w:val="0"/>
          <w:numId w:val="1003"/>
        </w:numPr>
        <w:pStyle w:val="Compact"/>
      </w:pPr>
      <w:r>
        <w:t xml:space="preserve">Identificar las integraciones entre las aplicaciones.</w:t>
      </w:r>
    </w:p>
    <w:p>
      <w:pPr>
        <w:numPr>
          <w:ilvl w:val="0"/>
          <w:numId w:val="1003"/>
        </w:numPr>
        <w:pStyle w:val="Compact"/>
      </w:pPr>
      <w:r>
        <w:t xml:space="preserve">Considerar aspectos como obsolescencia, mantenimiento, gobierno de aplicaciones, escalabilidad, rendimiento y la seguridad de las aplicaciones.</w:t>
      </w:r>
    </w:p>
    <w:p>
      <w:pPr>
        <w:pStyle w:val="FirstParagraph"/>
      </w:pPr>
      <w:r>
        <w:t xml:space="preserve">El trabajo de la arquitectura de aplicaciones opera en conjunto y coordinación con otros dominios y fases de la arquitectura empresarial de la Secretaría General,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 de tecnología e infraestructura, que servirá a su vez para soportar la operación de las aplicaciones y gestionar los datos.</w:t>
      </w:r>
    </w:p>
    <w:p>
      <w:pPr>
        <w:numPr>
          <w:ilvl w:val="0"/>
          <w:numId w:val="1004"/>
        </w:numPr>
        <w:pStyle w:val="Compact"/>
      </w:pPr>
      <w:r>
        <w:t xml:space="preserve">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5"/>
        </w:numPr>
        <w:pStyle w:val="Compact"/>
      </w:pPr>
      <w:r>
        <w:t xml:space="preserve">Definir la arquitectura de las aplicaciones (SI) necesarias para soportar los procesos de negocio de la SG.</w:t>
      </w:r>
    </w:p>
    <w:p>
      <w:pPr>
        <w:numPr>
          <w:ilvl w:val="0"/>
          <w:numId w:val="1005"/>
        </w:numPr>
        <w:pStyle w:val="Compact"/>
      </w:pPr>
      <w:r>
        <w:t xml:space="preserve">Identificar las funciones de negocio que deben ser soportadas por las aplicaciones de la SG.</w:t>
      </w:r>
    </w:p>
    <w:p>
      <w:pPr>
        <w:numPr>
          <w:ilvl w:val="0"/>
          <w:numId w:val="1005"/>
        </w:numPr>
        <w:pStyle w:val="Compact"/>
      </w:pPr>
      <w:r>
        <w:t xml:space="preserve">Establecer la interacción y el flujo de información entre las diferentes aplicaciones de la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Subsecretaría de Servicios Ciudadanos</w:t>
      </w:r>
    </w:p>
    <w:p>
      <w:pPr>
        <w:numPr>
          <w:ilvl w:val="1"/>
          <w:numId w:val="1008"/>
        </w:numPr>
        <w:pStyle w:val="Compact"/>
      </w:pPr>
      <w:r>
        <w:t xml:space="preserve">Subsecretaría de Operaciones</w:t>
      </w:r>
    </w:p>
    <w:p>
      <w:pPr>
        <w:numPr>
          <w:ilvl w:val="1"/>
          <w:numId w:val="1008"/>
        </w:numPr>
        <w:pStyle w:val="Compact"/>
      </w:pPr>
      <w:r>
        <w:t xml:space="preserve">Subsecretaría de Relaciones Internacionales</w:t>
      </w:r>
    </w:p>
    <w:p>
      <w:pPr>
        <w:numPr>
          <w:ilvl w:val="1"/>
          <w:numId w:val="1008"/>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sistemas de información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7"/>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7"/>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7"/>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7"/>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7"/>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7"/>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8"/>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y aplicaciones de software en potencial obsolescencia, que generan dificultad en la ejecución de las actividades que desarrolla la entidad.</w:t>
      </w:r>
    </w:p>
    <w:p>
      <w:pPr>
        <w:numPr>
          <w:ilvl w:val="0"/>
          <w:numId w:val="1018"/>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w:t>
      </w:r>
    </w:p>
    <w:p>
      <w:pPr>
        <w:numPr>
          <w:ilvl w:val="1"/>
          <w:numId w:val="1024"/>
        </w:numPr>
        <w:pStyle w:val="Compact"/>
      </w:pPr>
      <w:r>
        <w:t xml:space="preserve">Falta de un sistema de información dedicado a la información dinámica para la toma de decisiones.</w:t>
      </w:r>
    </w:p>
    <w:p>
      <w:pPr>
        <w:numPr>
          <w:ilvl w:val="1"/>
          <w:numId w:val="1024"/>
        </w:numPr>
        <w:pStyle w:val="Compact"/>
      </w:pPr>
      <w:r>
        <w:t xml:space="preserve">Se realizan análisis descriptivos, pero no predictivos y prospectivos de los resultados de la gestión, dificultando la toma de decisiones basada en evidencia.</w:t>
      </w:r>
    </w:p>
    <w:p>
      <w:pPr>
        <w:numPr>
          <w:ilvl w:val="1"/>
          <w:numId w:val="1024"/>
        </w:numPr>
        <w:pStyle w:val="Compact"/>
      </w:pPr>
      <w:r>
        <w:t xml:space="preserve">Cambios en las plataformas tecnológicas que no interactúan con las anteriores, con impacto en pérdida de información y reprocesos.</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w:t>
      </w:r>
    </w:p>
    <w:p>
      <w:pPr>
        <w:numPr>
          <w:ilvl w:val="1"/>
          <w:numId w:val="1025"/>
        </w:numPr>
        <w:pStyle w:val="Compact"/>
      </w:pPr>
      <w:r>
        <w:t xml:space="preserve">Deficiente conectividad y falta de interoperabilidad de las plataformas tecnológicas.</w:t>
      </w:r>
    </w:p>
    <w:p>
      <w:pPr>
        <w:numPr>
          <w:ilvl w:val="1"/>
          <w:numId w:val="1025"/>
        </w:numPr>
        <w:pStyle w:val="Compact"/>
      </w:pPr>
      <w:r>
        <w:t xml:space="preserve">Inestabilidad de la conectividad e indisponibilidad de servidores de información, comprometiendo la operatividad y el cumplimiento de metas.</w:t>
      </w:r>
    </w:p>
    <w:p>
      <w:pPr>
        <w:numPr>
          <w:ilvl w:val="1"/>
          <w:numId w:val="1025"/>
        </w:numPr>
        <w:pStyle w:val="Compact"/>
      </w:pPr>
      <w:r>
        <w:t xml:space="preserve">Obsolescencia tecnológica generalizada que implica la necesidad de renovación de equipos y dificulta la prestación de servicios.</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w:t>
      </w:r>
    </w:p>
    <w:p>
      <w:pPr>
        <w:numPr>
          <w:ilvl w:val="1"/>
          <w:numId w:val="1026"/>
        </w:numPr>
        <w:pStyle w:val="Compact"/>
      </w:pPr>
      <w:r>
        <w:t xml:space="preserve">Vulneración de la inviolabilidad de acceso a cuentas de correo institucionales y aplicativos, afectando la reserva de la información.</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w:t>
      </w:r>
    </w:p>
    <w:p>
      <w:pPr>
        <w:numPr>
          <w:ilvl w:val="1"/>
          <w:numId w:val="1027"/>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4"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31"/>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1"/>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1"/>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1"/>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1"/>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2"/>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7664474"/>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Portales Institucionales y de Contenido</w:t>
            </w:r>
          </w:p>
        </w:tc>
        <w:tc>
          <w:tcPr/>
          <w:p>
            <w:pPr>
              <w:pStyle w:val="Compact"/>
              <w:jc w:val="left"/>
            </w:pPr>
            <w:r>
              <w:t xml:space="preserve">Grouping</w:t>
            </w:r>
          </w:p>
        </w:tc>
        <w:tc>
          <w:tcPr/>
          <w:p>
            <w:pPr>
              <w:pStyle w:val="Compact"/>
            </w:pP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para mostrar infografías de Bogotá. La ciudadanía provee historias cotidianas de su localidad y un grupo de análisis del Archivo de Bogotá determina la pertinencia para su publicación. Sección del Portal de Archivo de Bogotá.</w:t>
            </w: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Alcaldía Mayor de Bogotá orientado a la publicación de la Gestión del alcalde, noticias de entidades y noticias de las localidades.</w:t>
            </w:r>
          </w:p>
        </w:tc>
      </w:tr>
      <w:tr>
        <w:tc>
          <w:tcPr/>
          <w:p>
            <w:pPr>
              <w:pStyle w:val="Compact"/>
            </w:pPr>
          </w:p>
        </w:tc>
        <w:tc>
          <w:tcPr/>
          <w:p>
            <w:pPr>
              <w:pStyle w:val="Compact"/>
            </w:pPr>
          </w:p>
        </w:tc>
        <w:tc>
          <w:tcPr/>
          <w:p>
            <w:pPr>
              <w:pStyle w:val="Compact"/>
            </w:pPr>
          </w:p>
        </w:tc>
      </w:tr>
      <w:tr>
        <w:tc>
          <w:tcPr/>
          <w:p>
            <w:pPr>
              <w:pStyle w:val="Compact"/>
              <w:jc w:val="left"/>
            </w:pPr>
            <w:r>
              <w:t xml:space="preserve">Portal Web de Gobierno abierto de Bogotá – GAB</w:t>
            </w:r>
          </w:p>
        </w:tc>
        <w:tc>
          <w:tcPr/>
          <w:p>
            <w:pPr>
              <w:pStyle w:val="Compact"/>
              <w:jc w:val="left"/>
            </w:pPr>
            <w:r>
              <w:t xml:space="preserve">Application Component</w:t>
            </w:r>
          </w:p>
        </w:tc>
        <w:tc>
          <w:tcPr/>
          <w:p>
            <w:pPr>
              <w:pStyle w:val="Compact"/>
              <w:jc w:val="left"/>
            </w:pPr>
            <w:r>
              <w:t xml:space="preserve">Plataforma en la que los ciudadanos ayudan a decidir como transformar tu localidad.</w:t>
            </w:r>
          </w:p>
        </w:tc>
      </w:tr>
      <w:tr>
        <w:tc>
          <w:tcPr/>
          <w:p>
            <w:pPr>
              <w:pStyle w:val="Compact"/>
            </w:pPr>
          </w:p>
        </w:tc>
        <w:tc>
          <w:tcPr/>
          <w:p>
            <w:pPr>
              <w:pStyle w:val="Compact"/>
            </w:pPr>
          </w:p>
        </w:tc>
        <w:tc>
          <w:tcPr/>
          <w:p>
            <w:pPr>
              <w:pStyle w:val="Compact"/>
            </w:pP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SuperCADE Bus Transaccional</w:t>
            </w:r>
          </w:p>
        </w:tc>
        <w:tc>
          <w:tcPr/>
          <w:p>
            <w:pPr>
              <w:pStyle w:val="Compact"/>
              <w:jc w:val="left"/>
            </w:pPr>
            <w:r>
              <w:t xml:space="preserve">Application Component</w:t>
            </w:r>
          </w:p>
        </w:tc>
        <w:tc>
          <w:tcPr/>
          <w:p>
            <w:pPr>
              <w:pStyle w:val="Compact"/>
              <w:jc w:val="left"/>
            </w:pPr>
            <w:r>
              <w:t xml:space="preserve">Aplicación de software que permite la interoperabilidad de los procesos del Distrito, con el fin de realizar trámites en Línea. Página web que redirige a servicios del Súper CADE.</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Aplicación de software para facilitar la interacción y el acercamiento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Agente de inteligencia artificial para MIPG y temas institucionales de entidades distritales.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Flujos automatizados de procesos de empleado con TH y contratistas (ausentismos, permisos comisiones, etc.)</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Aplicación de software para recopilación de información de campo de trabajo de gestores territoriales.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Tablero de control para seguimiento de gestión de riesgos de feminicidios en Bogotá. Proyecto sector Bienestar.</w:t>
            </w:r>
          </w:p>
        </w:tc>
      </w:tr>
      <w:tr>
        <w:tc>
          <w:tcPr/>
          <w:p>
            <w:pPr>
              <w:pStyle w:val="Compact"/>
            </w:pPr>
          </w:p>
        </w:tc>
        <w:tc>
          <w:tcPr/>
          <w:p>
            <w:pPr>
              <w:pStyle w:val="Compact"/>
            </w:pPr>
          </w:p>
        </w:tc>
        <w:tc>
          <w:tcPr/>
          <w:p>
            <w:pPr>
              <w:pStyle w:val="Compact"/>
            </w:pPr>
          </w:p>
        </w:tc>
      </w:tr>
      <w:tr>
        <w:tc>
          <w:tcPr/>
          <w:p>
            <w:pPr>
              <w:pStyle w:val="Compact"/>
              <w:jc w:val="left"/>
            </w:pPr>
            <w:r>
              <w:t xml:space="preserve">Inteligencia artificial para la organización, clasificación, y descripción de un fondo documental histórico</w:t>
            </w:r>
          </w:p>
        </w:tc>
        <w:tc>
          <w:tcPr/>
          <w:p>
            <w:pPr>
              <w:pStyle w:val="Compact"/>
              <w:jc w:val="left"/>
            </w:pPr>
            <w:r>
              <w:t xml:space="preserve">Application Component</w:t>
            </w:r>
          </w:p>
        </w:tc>
        <w:tc>
          <w:tcPr/>
          <w:p>
            <w:pPr>
              <w:pStyle w:val="Compact"/>
              <w:jc w:val="left"/>
            </w:pPr>
            <w:r>
              <w:t xml:space="preserve">Herramientas de inteligencia artificial para la organización, clasificación, y descripción de un fondo documental histórico del Archivo General de Bogotá.</w:t>
            </w:r>
          </w:p>
        </w:tc>
      </w:tr>
      <w:tr>
        <w:tc>
          <w:tcPr/>
          <w:p>
            <w:pPr>
              <w:pStyle w:val="Compact"/>
            </w:pPr>
          </w:p>
        </w:tc>
        <w:tc>
          <w:tcPr/>
          <w:p>
            <w:pPr>
              <w:pStyle w:val="Compact"/>
            </w:pPr>
          </w:p>
        </w:tc>
        <w:tc>
          <w:tcPr/>
          <w:p>
            <w:pPr>
              <w:pStyle w:val="Compact"/>
            </w:pPr>
          </w:p>
        </w:tc>
      </w:tr>
      <w:tr>
        <w:tc>
          <w:tcPr/>
          <w:p>
            <w:pPr>
              <w:pStyle w:val="Compact"/>
              <w:jc w:val="left"/>
            </w:pPr>
            <w:r>
              <w:t xml:space="preserve">Líneas de operación de la Subdirección de Sistema Distrital de Archivos de Bogotá – SSDA</w:t>
            </w:r>
          </w:p>
        </w:tc>
        <w:tc>
          <w:tcPr/>
          <w:p>
            <w:pPr>
              <w:pStyle w:val="Compact"/>
              <w:jc w:val="left"/>
            </w:pPr>
            <w:r>
              <w:t xml:space="preserve">Application Component</w:t>
            </w:r>
          </w:p>
        </w:tc>
        <w:tc>
          <w:tcPr/>
          <w:p>
            <w:pPr>
              <w:pStyle w:val="Compact"/>
              <w:jc w:val="left"/>
            </w:pPr>
            <w:r>
              <w:t xml:space="preserve">Aplicación de software para automatización de los procesos de 4 líneas de operación de la Subdirección de Sistema Distrital de Archivos de Bogotá –SSDA.</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vehículos</w:t>
            </w: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Sistema SAE - Gestión de Elementos de Consumo</w:t>
            </w:r>
          </w:p>
        </w:tc>
        <w:tc>
          <w:tcPr/>
          <w:p>
            <w:pPr>
              <w:pStyle w:val="Compact"/>
              <w:jc w:val="left"/>
            </w:pPr>
            <w:r>
              <w:t xml:space="preserve">Application Component</w:t>
            </w:r>
          </w:p>
        </w:tc>
        <w:tc>
          <w:tcPr/>
          <w:p>
            <w:pPr>
              <w:pStyle w:val="Compact"/>
              <w:jc w:val="left"/>
            </w:pPr>
            <w:r>
              <w:t xml:space="preserve">Sistema de control de gestión de elementos de consumo (Heredado SICAPITAL).</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Sistemas de fortalecimiento de capacidades, del conocimiento y datos para la gestión pública</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Bogotá Global</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Sistema Integrado de Gestión</w:t>
            </w:r>
          </w:p>
        </w:tc>
        <w:tc>
          <w:tcPr/>
          <w:p>
            <w:pPr>
              <w:pStyle w:val="Compact"/>
              <w:jc w:val="left"/>
            </w:pPr>
            <w:r>
              <w:t xml:space="preserve">Application Component</w:t>
            </w:r>
          </w:p>
        </w:tc>
        <w:tc>
          <w:tcPr/>
          <w:p>
            <w:pPr>
              <w:pStyle w:val="Compact"/>
              <w:jc w:val="left"/>
            </w:pPr>
            <w:r>
              <w:t xml:space="preserve">Sistema Integrado de Gestión de Calidad- Histórico</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Centro de Gobierno - Tablero de control</w:t>
            </w:r>
          </w:p>
        </w:tc>
        <w:tc>
          <w:tcPr/>
          <w:p>
            <w:pPr>
              <w:pStyle w:val="Compact"/>
              <w:jc w:val="left"/>
            </w:pPr>
            <w:r>
              <w:t xml:space="preserve">Application Component</w:t>
            </w:r>
          </w:p>
        </w:tc>
        <w:tc>
          <w:tcPr/>
          <w:p>
            <w:pPr>
              <w:pStyle w:val="Compact"/>
              <w:jc w:val="left"/>
            </w:pPr>
            <w:r>
              <w:t xml:space="preserve">Esta plataforma permite al alcalde y al equipo de gobierno tener la visión distrital de cada proyecto agilizando la coordinación de acciones estratégicas encaminadas a la gestión del plan de desarrollo distrital de Bogotá 2020-2023.</w:t>
            </w:r>
          </w:p>
        </w:tc>
      </w:tr>
      <w:tr>
        <w:tc>
          <w:tcPr/>
          <w:p>
            <w:pPr>
              <w:pStyle w:val="Compact"/>
            </w:pPr>
          </w:p>
        </w:tc>
        <w:tc>
          <w:tcPr/>
          <w:p>
            <w:pPr>
              <w:pStyle w:val="Compact"/>
            </w:pPr>
          </w:p>
        </w:tc>
        <w:tc>
          <w:tcPr/>
          <w:p>
            <w:pPr>
              <w:pStyle w:val="Compact"/>
            </w:pPr>
          </w:p>
        </w:tc>
      </w:tr>
      <w:tr>
        <w:tc>
          <w:tcPr/>
          <w:p>
            <w:pPr>
              <w:pStyle w:val="Compact"/>
              <w:jc w:val="left"/>
            </w:pPr>
            <w:r>
              <w:t xml:space="preserve">Sistemas de desarrollo de software y Ofimática</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DATAPROTECTOR</w:t>
            </w:r>
          </w:p>
        </w:tc>
        <w:tc>
          <w:tcPr/>
          <w:p>
            <w:pPr>
              <w:pStyle w:val="Compact"/>
              <w:jc w:val="left"/>
            </w:pPr>
            <w:r>
              <w:t xml:space="preserve">Application Component</w:t>
            </w:r>
          </w:p>
        </w:tc>
        <w:tc>
          <w:tcPr/>
          <w:p>
            <w:pPr>
              <w:pStyle w:val="Compact"/>
              <w:jc w:val="left"/>
            </w:pPr>
            <w:r>
              <w:t xml:space="preserve">Sistema de Copias de seguridad.</w:t>
            </w:r>
          </w:p>
        </w:tc>
      </w:tr>
      <w:tr>
        <w:tc>
          <w:tcPr/>
          <w:p>
            <w:pPr>
              <w:pStyle w:val="Compact"/>
            </w:pPr>
          </w:p>
        </w:tc>
        <w:tc>
          <w:tcPr/>
          <w:p>
            <w:pPr>
              <w:pStyle w:val="Compact"/>
            </w:pPr>
          </w:p>
        </w:tc>
        <w:tc>
          <w:tcPr/>
          <w:p>
            <w:pPr>
              <w:pStyle w:val="Compact"/>
            </w:pPr>
          </w:p>
        </w:tc>
      </w:tr>
      <w:tr>
        <w:tc>
          <w:tcPr/>
          <w:p>
            <w:pPr>
              <w:pStyle w:val="Compact"/>
              <w:jc w:val="left"/>
            </w:pPr>
            <w:r>
              <w:t xml:space="preserve">NAGIOS</w:t>
            </w:r>
          </w:p>
        </w:tc>
        <w:tc>
          <w:tcPr/>
          <w:p>
            <w:pPr>
              <w:pStyle w:val="Compact"/>
              <w:jc w:val="left"/>
            </w:pPr>
            <w:r>
              <w:t xml:space="preserve">Application Component</w:t>
            </w:r>
          </w:p>
        </w:tc>
        <w:tc>
          <w:tcPr/>
          <w:p>
            <w:pPr>
              <w:pStyle w:val="Compact"/>
              <w:jc w:val="left"/>
            </w:pPr>
            <w:r>
              <w:t xml:space="preserve">Sistema de monitoreo de infraestructura y servicio de TI.</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ELASTIX - Telefonía IP</w:t>
            </w:r>
          </w:p>
        </w:tc>
        <w:tc>
          <w:tcPr/>
          <w:p>
            <w:pPr>
              <w:pStyle w:val="Compact"/>
              <w:jc w:val="left"/>
            </w:pPr>
            <w:r>
              <w:t xml:space="preserve">Application Component</w:t>
            </w:r>
          </w:p>
        </w:tc>
        <w:tc>
          <w:tcPr/>
          <w:p>
            <w:pPr>
              <w:pStyle w:val="Compact"/>
              <w:jc w:val="left"/>
            </w:pPr>
            <w:r>
              <w:t xml:space="preserve">Aplicación de software para soportar el servicio de telefonía IP.</w:t>
            </w:r>
          </w:p>
        </w:tc>
      </w:tr>
      <w:tr>
        <w:tc>
          <w:tcPr/>
          <w:p>
            <w:pPr>
              <w:pStyle w:val="Compact"/>
            </w:pPr>
          </w:p>
        </w:tc>
        <w:tc>
          <w:tcPr/>
          <w:p>
            <w:pPr>
              <w:pStyle w:val="Compact"/>
            </w:pPr>
          </w:p>
        </w:tc>
        <w:tc>
          <w:tcPr/>
          <w:p>
            <w:pPr>
              <w:pStyle w:val="Compact"/>
            </w:pPr>
          </w:p>
        </w:tc>
      </w:tr>
      <w:tr>
        <w:tc>
          <w:tcPr/>
          <w:p>
            <w:pPr>
              <w:pStyle w:val="Compact"/>
              <w:jc w:val="left"/>
            </w:pPr>
            <w:r>
              <w:t xml:space="preserve">Continuum</w:t>
            </w:r>
          </w:p>
        </w:tc>
        <w:tc>
          <w:tcPr/>
          <w:p>
            <w:pPr>
              <w:pStyle w:val="Compact"/>
              <w:jc w:val="left"/>
            </w:pPr>
            <w:r>
              <w:t xml:space="preserve">Application Component</w:t>
            </w:r>
          </w:p>
        </w:tc>
        <w:tc>
          <w:tcPr/>
          <w:p>
            <w:pPr>
              <w:pStyle w:val="Compact"/>
              <w:jc w:val="left"/>
            </w:pPr>
            <w:r>
              <w:t xml:space="preserve">Herramientas de ofimática y colaboración SG.</w:t>
            </w:r>
          </w:p>
        </w:tc>
      </w:tr>
    </w:tbl>
    <w:p>
      <w:pPr>
        <w:pStyle w:val="BodyText"/>
      </w:pP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{#tbl:tblelement-06.2n2.1a.SIdelAnalisisdeEntorno-id}</w:t>
      </w:r>
    </w:p>
    <w:p>
      <w:pPr>
        <w:pStyle w:val="BodyText"/>
      </w:pPr>
    </w:p>
    <w:bookmarkEnd w:id="43"/>
    <w:bookmarkEnd w:id="44"/>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5" w:name="tbl:tblelement-vision.entregables-id"/>
    <w:p>
      <w:pPr>
        <w:pStyle w:val="TableCaption"/>
      </w:pPr>
      <w:r>
        <w:rPr>
          <w:iCs/>
          <w:i/>
        </w:rPr>
        <w:t xml:space="preserve">Tabla 2</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2: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5"/>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7" name="Picture"/>
            <a:graphic>
              <a:graphicData uri="http://schemas.openxmlformats.org/drawingml/2006/picture">
                <pic:pic>
                  <pic:nvPicPr>
                    <pic:cNvPr descr="images/06.2n3.a.AplicacionesyProcesos.png" id="48" name="Picture"/>
                    <pic:cNvPicPr>
                      <a:picLocks noChangeArrowheads="1" noChangeAspect="1"/>
                    </pic:cNvPicPr>
                  </pic:nvPicPr>
                  <pic:blipFill>
                    <a:blip r:embed="rId46"/>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49" w:name="X1d20c8e69ca0e89c142fbcbba0d1ef2a2844aee"/>
    <w:p>
      <w:pPr>
        <w:pStyle w:val="TableCaption"/>
      </w:pPr>
      <w:r>
        <w:rPr>
          <w:iCs/>
          <w:i/>
        </w:rPr>
        <w:t xml:space="preserve">Tabla 3</w:t>
      </w:r>
      <w:r>
        <w:t xml:space="preserve">: Elementos de la vista.</w:t>
      </w:r>
    </w:p>
    <w:tbl>
      <w:tblPr>
        <w:tblStyle w:val="Table"/>
        <w:tblW w:type="pct" w:w="5000"/>
        <w:tblLook w:firstRow="1" w:lastRow="0" w:firstColumn="0" w:lastColumn="0" w:noHBand="0" w:noVBand="0" w:val="0020"/>
        <w:jc w:val="start"/>
        <w:tblLayout w:type="fixed"/>
        <w:tblCaption w:val="Tabla 3: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bl>
    <w:bookmarkEnd w:id="49"/>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0" w:name="Xb160d6d5e712af2d9590a0e41409bb9068241c2"/>
    <w:p>
      <w:pPr>
        <w:pStyle w:val="TableCaption"/>
      </w:pPr>
      <w:r>
        <w:rPr>
          <w:iCs/>
          <w:i/>
        </w:rPr>
        <w:t xml:space="preserve">Tabla 4</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4: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0"/>
    <w:bookmarkEnd w:id="51"/>
    <w:bookmarkEnd w:id="52"/>
    <w:bookmarkEnd w:id="53"/>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2025-08-18T21:32:04Z</dcterms:created>
  <dcterms:modified xsi:type="dcterms:W3CDTF">2025-08-18T21:32:04Z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