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dfed88e1982bd14c512174813fc79fcfe6afff"/>
    <w:p>
      <w:pPr>
        <w:pStyle w:val="Heading1"/>
      </w:pPr>
      <w:r>
        <w:t xml:space="preserve">Entregables Fase I de la Visión AE de SG</w:t>
      </w:r>
    </w:p>
    <w:p>
      <w:pPr>
        <w:numPr>
          <w:ilvl w:val="0"/>
          <w:numId w:val="1001"/>
        </w:numPr>
        <w:pStyle w:val="Compact"/>
      </w:pPr>
      <w:hyperlink w:anchor="visión">
        <w:r>
          <w:rPr>
            <w:rStyle w:val="Hyperlink"/>
          </w:rPr>
          <w:t xml:space="preserve">Visión</w:t>
        </w:r>
      </w:hyperlink>
    </w:p>
    <w:p>
      <w:pPr>
        <w:numPr>
          <w:ilvl w:val="1"/>
          <w:numId w:val="1002"/>
        </w:numPr>
        <w:pStyle w:val="Compact"/>
      </w:pPr>
      <w:hyperlink w:anchor="necesidades-si-de-sg">
        <w:r>
          <w:rPr>
            <w:rStyle w:val="Hyperlink"/>
          </w:rPr>
          <w:t xml:space="preserve">Necesidades SI de SG</w:t>
        </w:r>
      </w:hyperlink>
    </w:p>
    <w:p>
      <w:pPr>
        <w:numPr>
          <w:ilvl w:val="1"/>
          <w:numId w:val="1002"/>
        </w:numPr>
        <w:pStyle w:val="Compact"/>
      </w:pPr>
      <w:hyperlink w:anchor="preocupaciones-si-de-sg">
        <w:r>
          <w:rPr>
            <w:rStyle w:val="Hyperlink"/>
          </w:rPr>
          <w:t xml:space="preserve">Preocupaciones SI de SG</w:t>
        </w:r>
      </w:hyperlink>
    </w:p>
    <w:p>
      <w:pPr>
        <w:numPr>
          <w:ilvl w:val="1"/>
          <w:numId w:val="1002"/>
        </w:numPr>
        <w:pStyle w:val="Compact"/>
      </w:pPr>
      <w:hyperlink w:anchor="Xa2e816061525672a0f3f52d098a046cfda55170">
        <w:r>
          <w:rPr>
            <w:rStyle w:val="Hyperlink"/>
          </w:rPr>
          <w:t xml:space="preserve">Contexto de Arquitectura de Sistemas de Información SG</w:t>
        </w:r>
      </w:hyperlink>
    </w:p>
    <w:p>
      <w:pPr>
        <w:numPr>
          <w:ilvl w:val="1"/>
          <w:numId w:val="1002"/>
        </w:numPr>
        <w:pStyle w:val="Compact"/>
      </w:pPr>
      <w:hyperlink w:anchor="oportunidades-si-de-sg">
        <w:r>
          <w:rPr>
            <w:rStyle w:val="Hyperlink"/>
          </w:rPr>
          <w:t xml:space="preserve">Oportunidades SI de SG</w:t>
        </w:r>
      </w:hyperlink>
    </w:p>
    <w:p>
      <w:pPr>
        <w:numPr>
          <w:ilvl w:val="1"/>
          <w:numId w:val="1002"/>
        </w:numPr>
        <w:pStyle w:val="Compact"/>
      </w:pPr>
      <w:hyperlink w:anchor="vistas-y-artefactos-del-dominio">
        <w:r>
          <w:rPr>
            <w:rStyle w:val="Hyperlink"/>
          </w:rPr>
          <w:t xml:space="preserve">Vistas y Artefactos del Dominio</w:t>
        </w:r>
      </w:hyperlink>
    </w:p>
    <w:p>
      <w:pPr>
        <w:numPr>
          <w:ilvl w:val="2"/>
          <w:numId w:val="1003"/>
        </w:numPr>
        <w:pStyle w:val="Compact"/>
      </w:pPr>
      <w:hyperlink w:anchor="X8bff28bb1c79bb35fcad04c73c813cbfe9ce980">
        <w:r>
          <w:rPr>
            <w:rStyle w:val="Hyperlink"/>
          </w:rPr>
          <w:t xml:space="preserve">Matriz de Sistemas de Información vs Procesos de Negocio</w:t>
        </w:r>
      </w:hyperlink>
    </w:p>
    <w:p>
      <w:pPr>
        <w:numPr>
          <w:ilvl w:val="2"/>
          <w:numId w:val="1003"/>
        </w:numPr>
        <w:pStyle w:val="Compact"/>
      </w:pPr>
      <w:hyperlink w:anchor="catálogo-de-sistemas-de-información">
        <w:r>
          <w:rPr>
            <w:rStyle w:val="Hyperlink"/>
          </w:rPr>
          <w:t xml:space="preserve">Catálogo de Sistemas de Información</w:t>
        </w:r>
      </w:hyperlink>
    </w:p>
    <w:p>
      <w:r>
        <w:br w:type="page"/>
      </w:r>
    </w:p>
    <w:bookmarkEnd w:id="20"/>
    <w:bookmarkStart w:id="33" w:name="sec:visión"/>
    <w:p>
      <w:pPr>
        <w:pStyle w:val="Heading1"/>
      </w:pPr>
      <w:r>
        <w:t xml:space="preserve">Visión</w:t>
      </w:r>
    </w:p>
    <w:bookmarkStart w:id="32" w:name="X4e8c8ac9a05a692722f85decda494fd84b8242a"/>
    <w:p>
      <w:pPr>
        <w:pStyle w:val="Heading2"/>
      </w:pPr>
      <w:r>
        <w:t xml:space="preserve">Situación Actual Sistemas Información SG (view)</w:t>
      </w:r>
    </w:p>
    <w:p>
      <w:pPr>
        <w:pStyle w:val="FirstParagraph"/>
      </w:pPr>
    </w:p>
    <w:p>
      <w:pPr>
        <w:pStyle w:val="BodyText"/>
      </w:pPr>
      <w:r>
        <w:t xml:space="preserve">La Fase Tres (3) de la arquitectura empresarial (AE) de SG se divide en dos partes principales: Arquitectura de Datos y Arquitectura de Aplicaciones.</w:t>
      </w:r>
    </w:p>
    <w:bookmarkStart w:id="21"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04"/>
        </w:numPr>
        <w:pStyle w:val="Compact"/>
      </w:pPr>
      <w:r>
        <w:t xml:space="preserve">Definir la arquitectura de las aplicaciones (software) necesarias para soportar los procesos de negocio.</w:t>
      </w:r>
    </w:p>
    <w:p>
      <w:pPr>
        <w:numPr>
          <w:ilvl w:val="0"/>
          <w:numId w:val="1004"/>
        </w:numPr>
        <w:pStyle w:val="Compact"/>
      </w:pPr>
      <w:r>
        <w:t xml:space="preserve">Identificar las funciones de negocio que deben ser soportadas por las aplicaciones.</w:t>
      </w:r>
    </w:p>
    <w:p>
      <w:pPr>
        <w:numPr>
          <w:ilvl w:val="0"/>
          <w:numId w:val="1004"/>
        </w:numPr>
        <w:pStyle w:val="Compact"/>
      </w:pPr>
      <w:r>
        <w:t xml:space="preserve">Establecer la interacción y el flujo de información entre las diferentes aplicaciones.</w:t>
      </w:r>
    </w:p>
    <w:p>
      <w:pPr>
        <w:numPr>
          <w:ilvl w:val="0"/>
          <w:numId w:val="1004"/>
        </w:numPr>
        <w:pStyle w:val="Compact"/>
      </w:pPr>
      <w:r>
        <w:t xml:space="preserve">Considerar aspectos como la escalabilidad, el rendimiento, la mantenibilidad y la seguridad de las aplicaciones.</w:t>
      </w:r>
    </w:p>
    <w:p>
      <w:pPr>
        <w:numPr>
          <w:ilvl w:val="0"/>
          <w:numId w:val="1004"/>
        </w:numPr>
        <w:pStyle w:val="Compact"/>
      </w:pPr>
      <w:r>
        <w:t xml:space="preserve">Listar los capacidades de negocio (servicios de aplicación) relacionadas con las arquitecturas de aplicaciones de SG.</w:t>
      </w:r>
    </w:p>
    <w:bookmarkEnd w:id="21"/>
    <w:bookmarkStart w:id="22"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05"/>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05"/>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05"/>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05"/>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05"/>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22"/>
    <w:bookmarkStart w:id="2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06"/>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06"/>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06"/>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06"/>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06"/>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06"/>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06"/>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p>
      <w:pPr>
        <w:pStyle w:val="CaptionedFigure"/>
      </w:pPr>
      <w:r>
        <w:drawing>
          <wp:inline>
            <wp:extent cx="5943600" cy="907012"/>
            <wp:effectExtent b="0" l="0" r="0" t="0"/>
            <wp:docPr descr="06.2n4. Aplicaciones. Situacion Actual SG. Fuente: Propuesta servicios de ingeniería y evaluación de arquitectura Arquitectura de Aplicaciones Secretaria de la Alcaldía de Bogotá (2025)" title="" id="24" name="Picture"/>
            <a:graphic>
              <a:graphicData uri="http://schemas.openxmlformats.org/drawingml/2006/picture">
                <pic:pic>
                  <pic:nvPicPr>
                    <pic:cNvPr descr="images/06.2n4.Aplicaciones.SituacionActualSG.png" id="25" name="Picture"/>
                    <pic:cNvPicPr>
                      <a:picLocks noChangeArrowheads="1" noChangeAspect="1"/>
                    </pic:cNvPicPr>
                  </pic:nvPicPr>
                  <pic:blipFill>
                    <a:blip r:embed="rId23"/>
                    <a:stretch>
                      <a:fillRect/>
                    </a:stretch>
                  </pic:blipFill>
                  <pic:spPr bwMode="auto">
                    <a:xfrm>
                      <a:off x="0" y="0"/>
                      <a:ext cx="5943600" cy="907012"/>
                    </a:xfrm>
                    <a:prstGeom prst="rect">
                      <a:avLst/>
                    </a:prstGeom>
                    <a:noFill/>
                    <a:ln w="9525">
                      <a:noFill/>
                      <a:headEnd/>
                      <a:tailEnd/>
                    </a:ln>
                  </pic:spPr>
                </pic:pic>
              </a:graphicData>
            </a:graphic>
          </wp:inline>
        </w:drawing>
      </w:r>
    </w:p>
    <w:p>
      <w:pPr>
        <w:pStyle w:val="ImageCaption"/>
      </w:pPr>
      <w:r>
        <w:t xml:space="preserve">Figura 1: 06.2n4. Aplicaciones. Situacion Actual SG.</w:t>
      </w:r>
      <w:r>
        <w:t xml:space="preserve"> </w:t>
      </w:r>
      <w:r>
        <w:rPr>
          <w:iCs/>
          <w:i/>
        </w:rPr>
        <w:t xml:space="preserve">Fuente: Propuesta servicios de ingeniería y evaluación de arquitectura Arquitectura de Aplicaciones Secretaria de la Alcaldía de Bogotá (2025)</w:t>
      </w:r>
    </w:p>
    <w:bookmarkEnd w:id="26"/>
    <w:bookmarkStart w:id="31"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1. Introducción y Contexto Estratégico</w:t>
            </w:r>
          </w:p>
        </w:tc>
        <w:tc>
          <w:tcPr/>
          <w:p>
            <w:pPr>
              <w:pStyle w:val="Compact"/>
              <w:jc w:val="left"/>
            </w:pPr>
            <w:r>
              <w:t xml:space="preserve">Business Object</w:t>
            </w:r>
          </w:p>
        </w:tc>
        <w:tc>
          <w:tcPr/>
          <w:p>
            <w:pPr>
              <w:pStyle w:val="Compact"/>
              <w:jc w:val="left"/>
            </w:pPr>
            <w:r>
              <w:t xml:space="preserve">* La Secretaría General de la Alcaldía Mayor de Bogotá D.C. busca optimizar su gestión institucional y cumplir sus objetivos estratégicos en un entorno dinámico.</w:t>
            </w:r>
          </w:p>
        </w:tc>
      </w:tr>
    </w:tbl>
    <w:p>
      <w:pPr>
        <w:numPr>
          <w:ilvl w:val="0"/>
          <w:numId w:val="1007"/>
        </w:numPr>
      </w:pPr>
      <w:r>
        <w:t xml:space="preserve">La transformación digital es un pilar fundamental para el desarrollo territorial, alineada con el Plan Nacional de Desarrollo 2022–2026 y el Plan Distrital de Desarrollo</w:t>
      </w:r>
      <w:r>
        <w:t xml:space="preserve"> </w:t>
      </w:r>
      <w:r>
        <w:t xml:space="preserve">“</w:t>
      </w:r>
      <w:r>
        <w:t xml:space="preserve">Bogotá Camina Segura 2024-2027</w:t>
      </w:r>
      <w:r>
        <w:t xml:space="preserve">”</w:t>
      </w:r>
      <w:r>
        <w:t xml:space="preserve">.</w:t>
      </w:r>
    </w:p>
    <w:p>
      <w:pPr>
        <w:numPr>
          <w:ilvl w:val="0"/>
          <w:numId w:val="1007"/>
        </w:numPr>
      </w:pPr>
      <w:r>
        <w:t xml:space="preserve">El objetivo del ejercicio de Arquitectura Empresarial es fortalecer la alineación de sus estrategias, procesos y tecnologías, impulsar la transformación digital y promover una gestión pública más eficiente y transparente. |</w:t>
      </w:r>
      <w:r>
        <w:t xml:space="preserve"> </w:t>
      </w:r>
      <w:r>
        <w:t xml:space="preserve">| 2. Diagnóstico Actual: Debilidades Tecnológicas Clave de la Secretaría General | Business Object | Basado en el análisis de las matrices DOFA (Matriz de Evaluación de Factores Internos - MEFI y Matriz de Evaluación de Factores Externos - MEFE) [5, 6], se han identificado las siguientes debilidades tecnológicas:</w:t>
      </w:r>
    </w:p>
    <w:p>
      <w:pPr>
        <w:numPr>
          <w:ilvl w:val="0"/>
          <w:numId w:val="1007"/>
        </w:numPr>
      </w:pPr>
      <w:r>
        <w:t xml:space="preserve">Sistemas de Información y Datos:</w:t>
      </w:r>
    </w:p>
    <w:p>
      <w:pPr>
        <w:numPr>
          <w:ilvl w:val="1"/>
          <w:numId w:val="1008"/>
        </w:numPr>
        <w:pStyle w:val="Compact"/>
      </w:pPr>
      <w:r>
        <w:t xml:space="preserve">Fallas recurrentes en el funcionamiento de los sistemas de información y plataformas tecnológicas, que afectan la continuidad del servicio y generan retrasos y reprocesos [7].</w:t>
      </w:r>
    </w:p>
    <w:p>
      <w:pPr>
        <w:numPr>
          <w:ilvl w:val="1"/>
          <w:numId w:val="1008"/>
        </w:numPr>
        <w:pStyle w:val="Compact"/>
      </w:pPr>
      <w:r>
        <w:t xml:space="preserve">Falta de un software que permita extraer información dinámica para la toma de decisiones [9].</w:t>
      </w:r>
    </w:p>
    <w:p>
      <w:pPr>
        <w:numPr>
          <w:ilvl w:val="1"/>
          <w:numId w:val="1008"/>
        </w:numPr>
        <w:pStyle w:val="Compact"/>
      </w:pPr>
      <w:r>
        <w:t xml:space="preserve">Se realizan análisis descriptivos, pero no predictivos y prospectivos de los resultados de la gestión, dificultando la toma de decisiones basada en evidencia [10].</w:t>
      </w:r>
    </w:p>
    <w:p>
      <w:pPr>
        <w:numPr>
          <w:ilvl w:val="1"/>
          <w:numId w:val="1008"/>
        </w:numPr>
        <w:pStyle w:val="Compact"/>
      </w:pPr>
      <w:r>
        <w:t xml:space="preserve">Cambios en las plataformas tecnológicas que no interactúan con las anteriores, generando posibles pérdidas de información y reprocesos [11].</w:t>
      </w:r>
    </w:p>
    <w:p>
      <w:pPr>
        <w:numPr>
          <w:ilvl w:val="0"/>
          <w:numId w:val="1007"/>
        </w:numPr>
      </w:pPr>
      <w:r>
        <w:t xml:space="preserve">Infraestructura Tecnológica:</w:t>
      </w:r>
    </w:p>
    <w:p>
      <w:pPr>
        <w:numPr>
          <w:ilvl w:val="1"/>
          <w:numId w:val="1009"/>
        </w:numPr>
        <w:pStyle w:val="Compact"/>
      </w:pPr>
      <w:r>
        <w:t xml:space="preserve">Equipos tecnológicos obsoletos que dificultan la ejecución de las actividades [12].</w:t>
      </w:r>
    </w:p>
    <w:p>
      <w:pPr>
        <w:numPr>
          <w:ilvl w:val="1"/>
          <w:numId w:val="1009"/>
        </w:numPr>
        <w:pStyle w:val="Compact"/>
      </w:pPr>
      <w:r>
        <w:t xml:space="preserve">Deficiente conectividad y falta de interoperabilidad de las plataformas tecnológicas [13].</w:t>
      </w:r>
    </w:p>
    <w:p>
      <w:pPr>
        <w:numPr>
          <w:ilvl w:val="1"/>
          <w:numId w:val="1009"/>
        </w:numPr>
        <w:pStyle w:val="Compact"/>
      </w:pPr>
      <w:r>
        <w:t xml:space="preserve">Inestabilidad de la conectividad e indisponibilidad de servidores de información, comprometiendo la operatividad y el cumplimiento de metas [14].</w:t>
      </w:r>
    </w:p>
    <w:p>
      <w:pPr>
        <w:numPr>
          <w:ilvl w:val="1"/>
          <w:numId w:val="1009"/>
        </w:numPr>
        <w:pStyle w:val="Compact"/>
      </w:pPr>
      <w:r>
        <w:t xml:space="preserve">Obsolescencia tecnológica generalizada que implica la necesidad de renovación de equipos y dificulta la prestación de servicios [15].</w:t>
      </w:r>
    </w:p>
    <w:p>
      <w:pPr>
        <w:numPr>
          <w:ilvl w:val="1"/>
          <w:numId w:val="1009"/>
        </w:numPr>
        <w:pStyle w:val="Compact"/>
      </w:pPr>
      <w:r>
        <w:t xml:space="preserve">Los altos costos de la tecnología pueden limitar la capacidad para implementar y mantener sistemas avanzados [15].</w:t>
      </w:r>
    </w:p>
    <w:p>
      <w:pPr>
        <w:numPr>
          <w:ilvl w:val="0"/>
          <w:numId w:val="1007"/>
        </w:numPr>
      </w:pPr>
      <w:r>
        <w:t xml:space="preserve">Seguridad Informática:</w:t>
      </w:r>
    </w:p>
    <w:p>
      <w:pPr>
        <w:numPr>
          <w:ilvl w:val="1"/>
          <w:numId w:val="1010"/>
        </w:numPr>
        <w:pStyle w:val="Compact"/>
      </w:pPr>
      <w:r>
        <w:t xml:space="preserve">Vulnerabilidad en la seguridad informática, que puede comprometer la integridad de los datos críticos y la continuidad operativa [14].</w:t>
      </w:r>
    </w:p>
    <w:p>
      <w:pPr>
        <w:numPr>
          <w:ilvl w:val="1"/>
          <w:numId w:val="1010"/>
        </w:numPr>
        <w:pStyle w:val="Compact"/>
      </w:pPr>
      <w:r>
        <w:t xml:space="preserve">Vulneración de la inviolabilidad de acceso a cuentas de correo institucionales y aplicativos, afectando la reserva de la información [14].</w:t>
      </w:r>
    </w:p>
    <w:p>
      <w:pPr>
        <w:numPr>
          <w:ilvl w:val="1"/>
          <w:numId w:val="1010"/>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07"/>
        </w:numPr>
      </w:pPr>
      <w:r>
        <w:t xml:space="preserve">Gestión del Conocimiento y Capacidades Humanas:</w:t>
      </w:r>
    </w:p>
    <w:p>
      <w:pPr>
        <w:numPr>
          <w:ilvl w:val="1"/>
          <w:numId w:val="1011"/>
        </w:numPr>
        <w:pStyle w:val="Compact"/>
      </w:pPr>
      <w:r>
        <w:t xml:space="preserve">Deficiente apropiación del conocimiento en procesos de tecnologías de la información, generando demora en la solución de servicios [17].</w:t>
      </w:r>
    </w:p>
    <w:p>
      <w:pPr>
        <w:numPr>
          <w:ilvl w:val="1"/>
          <w:numId w:val="1011"/>
        </w:numPr>
        <w:pStyle w:val="Compact"/>
      </w:pPr>
      <w:r>
        <w:t xml:space="preserve">Falta de personal para actualizar las plataformas tecnológicas, lo que genera retrasos en la operación [13]. |</w:t>
      </w:r>
      <w:r>
        <w:t xml:space="preserve"> </w:t>
      </w:r>
      <w:r>
        <w:t xml:space="preserve">| 3. La Arquitectura Empresarial (AE) como Solución Estratégica | Business Object | La implementación de un ejercicio de Arquitectura Empresarial es clave para abordar estas debilidades [4].</w:t>
      </w:r>
    </w:p>
    <w:p>
      <w:pPr>
        <w:numPr>
          <w:ilvl w:val="0"/>
          <w:numId w:val="1007"/>
        </w:numPr>
      </w:pPr>
      <w:r>
        <w:t xml:space="preserve">Propósito y Alcance de la AE:</w:t>
      </w:r>
    </w:p>
    <w:p>
      <w:pPr>
        <w:numPr>
          <w:ilvl w:val="1"/>
          <w:numId w:val="1012"/>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12"/>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12"/>
        </w:numPr>
        <w:pStyle w:val="Compact"/>
      </w:pPr>
      <w:r>
        <w:t xml:space="preserve">La AE es una práctica estratégica que impulsa las transformaciones necesarias para fortalecer la gestión de las entidades y alcanzar sus objetivos [20].</w:t>
      </w:r>
    </w:p>
    <w:p>
      <w:pPr>
        <w:numPr>
          <w:ilvl w:val="0"/>
          <w:numId w:val="1007"/>
        </w:numPr>
      </w:pPr>
      <w:r>
        <w:t xml:space="preserve">Dominios Clave que aborda la AE:</w:t>
      </w:r>
    </w:p>
    <w:p>
      <w:pPr>
        <w:numPr>
          <w:ilvl w:val="1"/>
          <w:numId w:val="1013"/>
        </w:numPr>
        <w:pStyle w:val="Compact"/>
      </w:pPr>
      <w:r>
        <w:t xml:space="preserve">Arquitectura Institucional: Modelo de capacidades, modelo operativo y catálogo de servicios institucionales [21].</w:t>
      </w:r>
    </w:p>
    <w:p>
      <w:pPr>
        <w:numPr>
          <w:ilvl w:val="1"/>
          <w:numId w:val="1013"/>
        </w:numPr>
        <w:pStyle w:val="Compact"/>
      </w:pPr>
      <w:r>
        <w:t xml:space="preserve">Arquitectura de Información: Definición de flujos y arquitectura de información, intercambio de información entre entidades y modelo de información institucional, incluyendo la aplicación de Inteligencia Artificial [22, 23].</w:t>
      </w:r>
    </w:p>
    <w:p>
      <w:pPr>
        <w:numPr>
          <w:ilvl w:val="1"/>
          <w:numId w:val="1013"/>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13"/>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13"/>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 |</w:t>
      </w:r>
    </w:p>
    <w:p>
      <w:pPr>
        <w:pStyle w:val="FirstParagraph"/>
      </w:pPr>
      <w:r>
        <w:t xml:space="preserve">Table: Elementos de la vista. {#tbl:tblelement-06.2n4.Aplicaciones.SituacionActualSG-id}</w:t>
      </w:r>
    </w:p>
    <w:p>
      <w:pPr>
        <w:pStyle w:val="BodyText"/>
      </w:pPr>
    </w:p>
    <w:p>
      <w:pPr>
        <w:pStyle w:val="BodyText"/>
      </w:pPr>
      <w:r>
        <w:t xml:space="preserve">undefined## Necesidades SI de SG</w:t>
      </w:r>
    </w:p>
    <w:p>
      <w:pPr>
        <w:pStyle w:val="BodyText"/>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7"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4"/>
        </w:numPr>
      </w:pPr>
      <w:r>
        <w:t xml:space="preserve">Impulsar la transformación digital para alinear estrategias, procesos y tecnologías, que resulte en el aumento de eficiencia de la gestión pública.</w:t>
      </w:r>
    </w:p>
    <w:p>
      <w:pPr>
        <w:numPr>
          <w:ilvl w:val="0"/>
          <w:numId w:val="1014"/>
        </w:numPr>
      </w:pPr>
      <w:r>
        <w:t xml:space="preserve">Cerrar las brechas en la Política de Gobierno Digital, de la cual la Arquitectura Empresarial es un habilitador clave.</w:t>
      </w:r>
    </w:p>
    <w:p>
      <w:pPr>
        <w:numPr>
          <w:ilvl w:val="0"/>
          <w:numId w:val="1014"/>
        </w:numPr>
      </w:pPr>
      <w:r>
        <w:t xml:space="preserve">Modernizar la infraestructura tecnológica que resulte del análisis de obsolescencia para asegurar su continuidad y disponibilidad.</w:t>
      </w:r>
    </w:p>
    <w:p>
      <w:pPr>
        <w:numPr>
          <w:ilvl w:val="0"/>
          <w:numId w:val="1014"/>
        </w:numPr>
      </w:pPr>
      <w:r>
        <w:t xml:space="preserve">Integrar plataformas y ecosistemas digitales y superar la falta de interoperabilidad.</w:t>
      </w:r>
    </w:p>
    <w:p>
      <w:pPr>
        <w:numPr>
          <w:ilvl w:val="0"/>
          <w:numId w:val="1014"/>
        </w:numPr>
      </w:pPr>
      <w:r>
        <w:t xml:space="preserve">Aumentar la automatización de los trámites digitales.</w:t>
      </w:r>
    </w:p>
    <w:p>
      <w:pPr>
        <w:numPr>
          <w:ilvl w:val="0"/>
          <w:numId w:val="1014"/>
        </w:numPr>
      </w:pPr>
      <w:r>
        <w:t xml:space="preserve">Estandarizar la gestión y gobernanza de datos públicos.</w:t>
      </w:r>
    </w:p>
    <w:p>
      <w:pPr>
        <w:numPr>
          <w:ilvl w:val="0"/>
          <w:numId w:val="1014"/>
        </w:numPr>
      </w:pPr>
      <w:r>
        <w:t xml:space="preserve">Mejorar el soporte que los SI dan a la toma de decisiones basada en evidencia.</w:t>
      </w:r>
    </w:p>
    <w:p>
      <w:pPr>
        <w:numPr>
          <w:ilvl w:val="0"/>
          <w:numId w:val="1014"/>
        </w:numPr>
      </w:pPr>
      <w:r>
        <w:t xml:space="preserve">Generar análisis predictivos y prospectivos de resultados de gestión, que son insumos para la toma de decisiones.</w:t>
      </w:r>
    </w:p>
    <w:p>
      <w:pPr>
        <w:numPr>
          <w:ilvl w:val="0"/>
          <w:numId w:val="1014"/>
        </w:numPr>
      </w:pPr>
      <w:r>
        <w:t xml:space="preserve">Contar con disponibilidad de personal adecuado para actualizar plataformas tecnológicas y gestionar las cargas de trabajo.</w:t>
      </w:r>
    </w:p>
    <w:p>
      <w:pPr>
        <w:numPr>
          <w:ilvl w:val="0"/>
          <w:numId w:val="1014"/>
        </w:numPr>
      </w:pPr>
      <w:r>
        <w:t xml:space="preserve">Aprovechar nuevas tecnologías como la Inteligencia Artificial, la minería de datos, el procesamiento del lenguaje, para mejorar los procesos y la relación con la ciudadanía.</w:t>
      </w:r>
    </w:p>
    <w:p>
      <w:pPr>
        <w:numPr>
          <w:ilvl w:val="0"/>
          <w:numId w:val="1014"/>
        </w:numPr>
      </w:pPr>
      <w:r>
        <w:t xml:space="preserve">Abordar los altos costos de la tecnología que limitan la implementación de sistemas avanzados. (??)</w:t>
      </w:r>
    </w:p>
    <w:p>
      <w:pPr>
        <w:numPr>
          <w:ilvl w:val="0"/>
          <w:numId w:val="1014"/>
        </w:numPr>
      </w:pPr>
      <w:r>
        <w:t xml:space="preserve">Fortalecer la ciberseguridad y seguridad de la información para proteger la integridad, disponibilidad y confidencialidad de los datos y prevenir ataques.</w:t>
      </w:r>
    </w:p>
    <w:bookmarkEnd w:id="27"/>
    <w:bookmarkStart w:id="28"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5"/>
        </w:numPr>
        <w:pStyle w:val="Compact"/>
      </w:pPr>
      <w:r>
        <w:t xml:space="preserve">Adquirir software especializado en análisis de datos: implica la necesidad de incorporar de nuevos componentes de aplicación (Application Component).</w:t>
      </w:r>
    </w:p>
    <w:p>
      <w:pPr>
        <w:numPr>
          <w:ilvl w:val="0"/>
          <w:numId w:val="1015"/>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5"/>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r>
        <w:t xml:space="preserve"> </w:t>
      </w:r>
      <w:r>
        <w:t xml:space="preserve">undefined## 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6"/>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en proceso de mitigar la obsolescencia, que generan dificultad en la ejecución de las actividades que desarrolla la entidad.</w:t>
      </w:r>
    </w:p>
    <w:p>
      <w:pPr>
        <w:numPr>
          <w:ilvl w:val="0"/>
          <w:numId w:val="1016"/>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de la entidad que pueden obstaculizar el avance de los iniciativas en marcha de la SG.</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6"/>
        </w:numPr>
        <w:pStyle w:val="Compact"/>
      </w:pPr>
      <w:r>
        <w:t xml:space="preserve">Potencial y rápida obsolescencia tecnológica que implica la necesidad de renovación de los equipos y dificulta la prestación de los servicios de la entidad.</w:t>
      </w:r>
    </w:p>
    <w:p>
      <w:pPr>
        <w:numPr>
          <w:ilvl w:val="0"/>
          <w:numId w:val="1016"/>
        </w:numPr>
        <w:pStyle w:val="Compact"/>
      </w:pPr>
      <w:r>
        <w:t xml:space="preserve">Los altos costos de la tecnología pueden limitar la capacidad de la entidad para implementar y mantener sistemas avanzados y eficientes.</w:t>
      </w:r>
      <w:r>
        <w:t xml:space="preserve"> </w:t>
      </w:r>
      <w:r>
        <w:t xml:space="preserve">undefined## 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17"/>
        </w:numPr>
        <w:pStyle w:val="Compact"/>
      </w:pPr>
      <w:r>
        <w:t xml:space="preserve">Definir la arquitectura de las aplicaciones (SI) necesarias para soportar los procesos de negocio de SG.</w:t>
      </w:r>
    </w:p>
    <w:p>
      <w:pPr>
        <w:numPr>
          <w:ilvl w:val="0"/>
          <w:numId w:val="1017"/>
        </w:numPr>
        <w:pStyle w:val="Compact"/>
      </w:pPr>
      <w:r>
        <w:t xml:space="preserve">Identificar las funciones de negocio que deben ser soportadas por las aplicaciones de SG.</w:t>
      </w:r>
    </w:p>
    <w:p>
      <w:pPr>
        <w:numPr>
          <w:ilvl w:val="0"/>
          <w:numId w:val="1017"/>
        </w:numPr>
        <w:pStyle w:val="Compact"/>
      </w:pPr>
      <w:r>
        <w:t xml:space="preserve">Establecer la interacción y el flujo de información entre las diferentes aplicaciones de SG.</w:t>
      </w:r>
    </w:p>
    <w:p>
      <w:pPr>
        <w:numPr>
          <w:ilvl w:val="0"/>
          <w:numId w:val="1017"/>
        </w:numPr>
        <w:pStyle w:val="Compact"/>
      </w:pPr>
      <w:r>
        <w:t xml:space="preserve">Considerar aspectos sistémicos como la escalabilidad, el rendimiento, la mantenibilidad y la seguridad de las aplicaciones de SG.</w:t>
      </w:r>
    </w:p>
    <w:p>
      <w:pPr>
        <w:numPr>
          <w:ilvl w:val="0"/>
          <w:numId w:val="1017"/>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End w:id="28"/>
    <w:bookmarkStart w:id="29"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18"/>
        </w:numPr>
        <w:pStyle w:val="Compact"/>
      </w:pPr>
      <w:r>
        <w:t xml:space="preserve">Secretaría Privada</w:t>
      </w:r>
    </w:p>
    <w:p>
      <w:pPr>
        <w:numPr>
          <w:ilvl w:val="1"/>
          <w:numId w:val="1019"/>
        </w:numPr>
        <w:pStyle w:val="Compact"/>
      </w:pPr>
      <w:r>
        <w:t xml:space="preserve">Oficina Consejería Distrital de Comunicación. César Augusto Castro Rodríguez</w:t>
      </w:r>
    </w:p>
    <w:p>
      <w:pPr>
        <w:numPr>
          <w:ilvl w:val="1"/>
          <w:numId w:val="1019"/>
        </w:numPr>
        <w:pStyle w:val="Compact"/>
      </w:pPr>
      <w:r>
        <w:t xml:space="preserve">Oficina Consejería Distrital de Tecnologías de la Información y las Comunicaciones -TIC. Diana Celis Mora</w:t>
      </w:r>
    </w:p>
    <w:p>
      <w:pPr>
        <w:numPr>
          <w:ilvl w:val="0"/>
          <w:numId w:val="1018"/>
        </w:numPr>
        <w:pStyle w:val="Compact"/>
      </w:pPr>
      <w:r>
        <w:t xml:space="preserve">Despacho del Secretario General. Miguel Andrés Silva Moyano</w:t>
      </w:r>
    </w:p>
    <w:p>
      <w:pPr>
        <w:numPr>
          <w:ilvl w:val="1"/>
          <w:numId w:val="1020"/>
        </w:numPr>
        <w:pStyle w:val="Compact"/>
      </w:pPr>
      <w:r>
        <w:t xml:space="preserve">Oficina de Tecnologías de la Información y las Comunicaciones. Arleth Patricia Saurith Contreras</w:t>
      </w:r>
    </w:p>
    <w:p>
      <w:pPr>
        <w:numPr>
          <w:ilvl w:val="1"/>
          <w:numId w:val="1020"/>
        </w:numPr>
        <w:pStyle w:val="Compact"/>
      </w:pPr>
      <w:r>
        <w:t xml:space="preserve">Subsecretaría Distrital de Fortalecimiento Institucional. Alejandra Rodas Gaiter</w:t>
      </w:r>
    </w:p>
    <w:p>
      <w:pPr>
        <w:numPr>
          <w:ilvl w:val="2"/>
          <w:numId w:val="1021"/>
        </w:numPr>
        <w:pStyle w:val="Compact"/>
      </w:pPr>
      <w:r>
        <w:t xml:space="preserve">Dirección Distrital de Desarrollo Institucional. Sebastian Estrada Jaramillo</w:t>
      </w:r>
    </w:p>
    <w:p>
      <w:pPr>
        <w:numPr>
          <w:ilvl w:val="3"/>
          <w:numId w:val="1022"/>
        </w:numPr>
        <w:pStyle w:val="Compact"/>
      </w:pPr>
      <w:r>
        <w:t xml:space="preserve">Subdirección Técnica de Desarrollo Institucional. Diego Canesco Arenas</w:t>
      </w:r>
    </w:p>
    <w:p>
      <w:pPr>
        <w:numPr>
          <w:ilvl w:val="1"/>
          <w:numId w:val="1020"/>
        </w:numPr>
        <w:pStyle w:val="Compact"/>
      </w:pPr>
      <w:r>
        <w:t xml:space="preserve">Subsecretaría de Servicio a la Ciudadanía . Adriana Vargas Tamayo</w:t>
      </w:r>
    </w:p>
    <w:p>
      <w:pPr>
        <w:numPr>
          <w:ilvl w:val="2"/>
          <w:numId w:val="1023"/>
        </w:numPr>
        <w:pStyle w:val="Compact"/>
      </w:pPr>
      <w:r>
        <w:t xml:space="preserve">Dirección del Sistema Distrital de Servicio a la Ciudadanía. Enrique Cusba García</w:t>
      </w:r>
    </w:p>
    <w:p>
      <w:pPr>
        <w:numPr>
          <w:ilvl w:val="1"/>
          <w:numId w:val="1020"/>
        </w:numPr>
        <w:pStyle w:val="Compact"/>
      </w:pPr>
      <w:r>
        <w:t xml:space="preserve">Subsecretaría Corporativa. Henry Villamarín Serrano</w:t>
      </w:r>
    </w:p>
    <w:p>
      <w:pPr>
        <w:numPr>
          <w:ilvl w:val="1"/>
          <w:numId w:val="1020"/>
        </w:numPr>
        <w:pStyle w:val="Compact"/>
      </w:pPr>
      <w:r>
        <w:t xml:space="preserve">Subsecreataría de Servicios Ciudadanos (…)</w:t>
      </w:r>
    </w:p>
    <w:p>
      <w:pPr>
        <w:numPr>
          <w:ilvl w:val="1"/>
          <w:numId w:val="1020"/>
        </w:numPr>
        <w:pStyle w:val="Compact"/>
      </w:pPr>
      <w:r>
        <w:t xml:space="preserve">Subsecreataría de Inversión y FF (…)</w:t>
      </w:r>
    </w:p>
    <w:p>
      <w:pPr>
        <w:numPr>
          <w:ilvl w:val="1"/>
          <w:numId w:val="1020"/>
        </w:numPr>
        <w:pStyle w:val="Compact"/>
      </w:pPr>
      <w:r>
        <w:t xml:space="preserve">Subsecreataría de Operaciones</w:t>
      </w:r>
    </w:p>
    <w:p>
      <w:pPr>
        <w:numPr>
          <w:ilvl w:val="1"/>
          <w:numId w:val="1020"/>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24"/>
        </w:numPr>
        <w:pStyle w:val="Compact"/>
      </w:pPr>
      <w:r>
        <w:t xml:space="preserve">Administrativo y Financiero: Soporta la gestión financiera, gestión de servicios administrativos y tecnológicos, y gestión de recursos físicos</w:t>
      </w:r>
    </w:p>
    <w:p>
      <w:pPr>
        <w:numPr>
          <w:ilvl w:val="0"/>
          <w:numId w:val="1024"/>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24"/>
        </w:numPr>
        <w:pStyle w:val="Compact"/>
      </w:pPr>
      <w:r>
        <w:t xml:space="preserve">Bogotá Aprende TIC: Apoya los procesos de Gobierno abierto y relacionamiento con la ciudadanía, y Fortalecimiento de la Gestión Pública</w:t>
      </w:r>
    </w:p>
    <w:p>
      <w:pPr>
        <w:numPr>
          <w:ilvl w:val="0"/>
          <w:numId w:val="1024"/>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24"/>
        </w:numPr>
        <w:pStyle w:val="Compact"/>
      </w:pPr>
      <w:r>
        <w:t xml:space="preserve">SIGA: Interviene en la gestión de contratación, gestión financiera, gestión de servicios administrativos y tecnológicos, y gestión de recursos físicos</w:t>
      </w:r>
    </w:p>
    <w:p>
      <w:pPr>
        <w:numPr>
          <w:ilvl w:val="0"/>
          <w:numId w:val="1024"/>
        </w:numPr>
        <w:pStyle w:val="Compact"/>
      </w:pPr>
      <w:r>
        <w:t xml:space="preserve">SAT Web: Relacionado con la gestión de servicios administrativos y tecnológicos</w:t>
      </w:r>
    </w:p>
    <w:p>
      <w:pPr>
        <w:numPr>
          <w:ilvl w:val="0"/>
          <w:numId w:val="1024"/>
        </w:numPr>
        <w:pStyle w:val="Compact"/>
      </w:pPr>
      <w:r>
        <w:t xml:space="preserve">GLOBO: Utilizado en el proceso de Fortalecimiento de la Gestión Pública</w:t>
      </w:r>
    </w:p>
    <w:p>
      <w:pPr>
        <w:numPr>
          <w:ilvl w:val="0"/>
          <w:numId w:val="1024"/>
        </w:numPr>
        <w:pStyle w:val="Compact"/>
      </w:pPr>
      <w:r>
        <w:t xml:space="preserve">Datos para la Transparencia (SATI): Soporta el proceso de Gobierno abierto y relacionamiento con la ciudadanía</w:t>
      </w:r>
    </w:p>
    <w:p>
      <w:pPr>
        <w:numPr>
          <w:ilvl w:val="0"/>
          <w:numId w:val="1024"/>
        </w:numPr>
        <w:pStyle w:val="Compact"/>
      </w:pPr>
      <w:r>
        <w:t xml:space="preserve">SUDIVC: Se aplica en los procesos de Gobierno abierto y relacionamiento con la ciudadanía, Paz, víctimas y reconciliación, y Fortalecimiento de la Gestión Pública</w:t>
      </w:r>
    </w:p>
    <w:p>
      <w:pPr>
        <w:numPr>
          <w:ilvl w:val="0"/>
          <w:numId w:val="1024"/>
        </w:numPr>
        <w:pStyle w:val="Compact"/>
      </w:pPr>
      <w:r>
        <w:t xml:space="preserve">HUMANAPP: Apoya la gestión del talento humano</w:t>
      </w:r>
    </w:p>
    <w:p>
      <w:pPr>
        <w:numPr>
          <w:ilvl w:val="0"/>
          <w:numId w:val="1024"/>
        </w:numPr>
        <w:pStyle w:val="Compact"/>
      </w:pPr>
      <w:r>
        <w:t xml:space="preserve">SIAB (El COFRE): Utilizado en los procesos de Gobierno abierto y relacionamiento con la ciudadanía, y Fortalecimiento de la Gestión Pública</w:t>
      </w:r>
    </w:p>
    <w:p>
      <w:pPr>
        <w:numPr>
          <w:ilvl w:val="0"/>
          <w:numId w:val="1024"/>
        </w:numPr>
        <w:pStyle w:val="Compact"/>
      </w:pPr>
      <w:r>
        <w:t xml:space="preserve">KOHA: Relacionado con la Gestión del conocimiento</w:t>
      </w:r>
    </w:p>
    <w:p>
      <w:pPr>
        <w:numPr>
          <w:ilvl w:val="0"/>
          <w:numId w:val="1024"/>
        </w:numPr>
        <w:pStyle w:val="Compact"/>
      </w:pPr>
      <w:r>
        <w:t xml:space="preserve">SIVIC: Interviene en los procesos de Paz, víctimas y reconciliación, y Fortalecimiento de la Gestión Pública</w:t>
      </w:r>
    </w:p>
    <w:p>
      <w:pPr>
        <w:numPr>
          <w:ilvl w:val="0"/>
          <w:numId w:val="1024"/>
        </w:numPr>
        <w:pStyle w:val="Compact"/>
      </w:pPr>
      <w:r>
        <w:t xml:space="preserve">Data Warehouse AVANTI: Apoya la Gestión del conocimiento</w:t>
      </w:r>
    </w:p>
    <w:p>
      <w:pPr>
        <w:numPr>
          <w:ilvl w:val="0"/>
          <w:numId w:val="1024"/>
        </w:numPr>
        <w:pStyle w:val="Compact"/>
      </w:pPr>
      <w:r>
        <w:t xml:space="preserve">Gestión Académica: Relacionado con la Gestión del conocimiento</w:t>
      </w:r>
    </w:p>
    <w:p>
      <w:pPr>
        <w:numPr>
          <w:ilvl w:val="0"/>
          <w:numId w:val="1024"/>
        </w:numPr>
        <w:pStyle w:val="Compact"/>
      </w:pPr>
      <w:r>
        <w:t xml:space="preserve">EMLAZE: Utilizado en los procesos de Gobierno abierto y relacionamiento con la ciudadanía, y Fortalecimiento de la Gestión Pública</w:t>
      </w:r>
    </w:p>
    <w:p>
      <w:pPr>
        <w:numPr>
          <w:ilvl w:val="0"/>
          <w:numId w:val="1024"/>
        </w:numPr>
        <w:pStyle w:val="Compact"/>
      </w:pPr>
      <w:r>
        <w:t xml:space="preserve">GLPI: Soporta la gestión de servicios administrativos y tecnológicos</w:t>
      </w:r>
    </w:p>
    <w:p>
      <w:pPr>
        <w:numPr>
          <w:ilvl w:val="0"/>
          <w:numId w:val="1024"/>
        </w:numPr>
        <w:pStyle w:val="Compact"/>
      </w:pPr>
      <w:r>
        <w:t xml:space="preserve">GitLab: Se relaciona con la Gestión de alianzas e internacionalización de Bogotá</w:t>
      </w:r>
      <w:r>
        <w:t xml:space="preserve"> </w:t>
      </w:r>
      <w:r>
        <w:t xml:space="preserve">undefined## 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25"/>
        </w:numPr>
      </w:pPr>
      <w:r>
        <w:t xml:space="preserve">Modernización de la infraestructura y sistemas tecnológicos</w:t>
      </w:r>
    </w:p>
    <w:p>
      <w:pPr>
        <w:numPr>
          <w:ilvl w:val="1"/>
          <w:numId w:val="102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6"/>
        </w:numPr>
        <w:pStyle w:val="Compact"/>
      </w:pPr>
      <w:r>
        <w:t xml:space="preserve">Una oportunidad es la adquisición y puesta en producción de software especializado en análisis de datos para la toma de decisiones que ya poseen otras entidades.</w:t>
      </w:r>
    </w:p>
    <w:p>
      <w:pPr>
        <w:numPr>
          <w:ilvl w:val="0"/>
          <w:numId w:val="1025"/>
        </w:numPr>
      </w:pPr>
      <w:r>
        <w:t xml:space="preserve">Integración y automatización de procesos</w:t>
      </w:r>
    </w:p>
    <w:p>
      <w:pPr>
        <w:numPr>
          <w:ilvl w:val="1"/>
          <w:numId w:val="102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7"/>
        </w:numPr>
        <w:pStyle w:val="Compact"/>
      </w:pPr>
      <w:r>
        <w:t xml:space="preserve">Se buscan mejores controles e integración de sistemas distritales con los canales de la Secretaría General.</w:t>
      </w:r>
    </w:p>
    <w:p>
      <w:pPr>
        <w:numPr>
          <w:ilvl w:val="1"/>
          <w:numId w:val="1027"/>
        </w:numPr>
        <w:pStyle w:val="Compact"/>
      </w:pPr>
      <w:r>
        <w:t xml:space="preserve">También se necesitan mejores controles e integración de los sistemas de gestión como los sistemas GLOBO (de gestión internacional), el sistema de proyectos GLPI.</w:t>
      </w:r>
    </w:p>
    <w:p>
      <w:pPr>
        <w:numPr>
          <w:ilvl w:val="0"/>
          <w:numId w:val="1025"/>
        </w:numPr>
      </w:pPr>
      <w:r>
        <w:t xml:space="preserve">Mejora de la comunicación pública a través de medios digitales</w:t>
      </w:r>
    </w:p>
    <w:p>
      <w:pPr>
        <w:numPr>
          <w:ilvl w:val="1"/>
          <w:numId w:val="102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25"/>
        </w:numPr>
      </w:pPr>
      <w:r>
        <w:t xml:space="preserve">capacitación en nuevas tecnologías y</w:t>
      </w:r>
    </w:p>
    <w:p>
      <w:pPr>
        <w:numPr>
          <w:ilvl w:val="0"/>
          <w:numId w:val="1025"/>
        </w:numPr>
      </w:pPr>
      <w:r>
        <w:t xml:space="preserve">Implementación de la Arquitectura Empresarial como estrategia para impulsar la transformación digital y la eficiencia en la gestión pública de la SG</w:t>
      </w:r>
    </w:p>
    <w:p>
      <w:pPr>
        <w:numPr>
          <w:ilvl w:val="1"/>
          <w:numId w:val="102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9"/>
        </w:numPr>
        <w:pStyle w:val="Compact"/>
      </w:pPr>
      <w:r>
        <w:t xml:space="preserve">Es requerido que este ejercicio beneficie a la SG con la entrega de activos como hojas de ruta, catálogos y caracterización de los sistemas de información, matrices de interacción, entre otros.</w:t>
      </w:r>
      <w:r>
        <w:t xml:space="preserve"> </w:t>
      </w:r>
      <w:r>
        <w:t xml:space="preserve">undefined## Vistas y Artefactos del Dominio</w:t>
      </w:r>
    </w:p>
    <w:p>
      <w:pPr>
        <w:pStyle w:val="FirstParagraph"/>
      </w:pPr>
      <w:r>
        <w:t xml:space="preserve">A continuación, se presentan las vistas y artefactos del dominio de sistemas de información consignados en el alcance del proyecto.</w:t>
      </w:r>
      <w:r>
        <w:t xml:space="preserve"> </w:t>
      </w:r>
      <w:r>
        <w:t xml:space="preserve">undefined### Matriz de Sistemas de Información vs Procesos de Negocio</w:t>
      </w:r>
    </w:p>
    <w:p>
      <w:pPr>
        <w:pStyle w:val="BodyText"/>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30"/>
        </w:numPr>
        <w:pStyle w:val="Compact"/>
      </w:pPr>
      <w:r>
        <w:t xml:space="preserve">Las matrices son cruciales para especificar cómo debe relacionarse la información entre los sistemas y otros dominios</w:t>
      </w:r>
    </w:p>
    <w:p>
      <w:pPr>
        <w:numPr>
          <w:ilvl w:val="0"/>
          <w:numId w:val="1030"/>
        </w:numPr>
        <w:pStyle w:val="Compact"/>
      </w:pPr>
      <w:r>
        <w:t xml:space="preserve">proporcionan información crítica para los proyectos que involucren a los sistemas de SG.</w:t>
      </w:r>
    </w:p>
    <w:p>
      <w:pPr>
        <w:numPr>
          <w:ilvl w:val="0"/>
          <w:numId w:val="1030"/>
        </w:numPr>
        <w:pStyle w:val="Compact"/>
      </w:pPr>
      <w:r>
        <w:t xml:space="preserve">Contribuye a la determinación de brechas (gaps) en las necesidades de compartir información (o funciones de los sistemas) ente los elementos de la matriz.</w:t>
      </w:r>
    </w:p>
    <w:p>
      <w:pPr>
        <w:numPr>
          <w:ilvl w:val="0"/>
          <w:numId w:val="1030"/>
        </w:numPr>
        <w:pStyle w:val="Compact"/>
      </w:pPr>
      <w:r>
        <w:t xml:space="preserve">La matriz ayuda a definir el nivel de detalle de lo que se comparte.</w:t>
      </w:r>
    </w:p>
    <w:p>
      <w:pPr>
        <w:numPr>
          <w:ilvl w:val="0"/>
          <w:numId w:val="1030"/>
        </w:numPr>
        <w:pStyle w:val="Compact"/>
      </w:pPr>
      <w:r>
        <w:t xml:space="preserve">Se deben establecer medidas similares para la interoperabilidad de servicios/negocios y la infraestructura (tecnología física).</w:t>
      </w:r>
    </w:p>
    <w:p>
      <w:pPr>
        <w:numPr>
          <w:ilvl w:val="0"/>
          <w:numId w:val="1030"/>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r>
        <w:t xml:space="preserve"> </w:t>
      </w:r>
      <w:r>
        <w:t xml:space="preserve">undefined### Catálogo de Sistemas de Información</w:t>
      </w:r>
    </w:p>
    <w:p>
      <w:pPr>
        <w:pStyle w:val="BodyText"/>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29"/>
    <w:bookmarkStart w:id="30" w:name="sec:contenido-mínimo-del-catálogo"/>
    <w:p>
      <w:pPr>
        <w:pStyle w:val="Heading4"/>
      </w:pPr>
      <w:r>
        <w:t xml:space="preserve">Contenido Mínimo del Catálogo</w:t>
      </w:r>
    </w:p>
    <w:p>
      <w:pPr>
        <w:numPr>
          <w:ilvl w:val="0"/>
          <w:numId w:val="1031"/>
        </w:numPr>
        <w:pStyle w:val="Compact"/>
      </w:pPr>
      <w:r>
        <w:t xml:space="preserve">ID de Aplicación. Código de identificación de la aplicación de software.</w:t>
      </w:r>
    </w:p>
    <w:p>
      <w:pPr>
        <w:numPr>
          <w:ilvl w:val="0"/>
          <w:numId w:val="1031"/>
        </w:numPr>
        <w:pStyle w:val="Compact"/>
      </w:pPr>
      <w:r>
        <w:t xml:space="preserve">Nombre de la Aplicación. Nombre de identificación de la aplicación de software.</w:t>
      </w:r>
    </w:p>
    <w:p>
      <w:pPr>
        <w:numPr>
          <w:ilvl w:val="0"/>
          <w:numId w:val="1031"/>
        </w:numPr>
        <w:pStyle w:val="Compact"/>
      </w:pPr>
      <w:r>
        <w:t xml:space="preserve">Descripción. Funcionamiento básico de la aplicación de software.</w:t>
      </w:r>
    </w:p>
    <w:p>
      <w:pPr>
        <w:numPr>
          <w:ilvl w:val="0"/>
          <w:numId w:val="1031"/>
        </w:numPr>
        <w:pStyle w:val="Compact"/>
      </w:pPr>
      <w:r>
        <w:t xml:space="preserve">Estado: [En producción, en desmantelamiento, en implementación, Inactiva]</w:t>
      </w:r>
    </w:p>
    <w:p>
      <w:pPr>
        <w:numPr>
          <w:ilvl w:val="0"/>
          <w:numId w:val="1031"/>
        </w:numPr>
        <w:pStyle w:val="Compact"/>
      </w:pPr>
      <w:r>
        <w:t xml:space="preserve">Categoría: [Sistema de apoyo al negocio (misional), herramienta de gestión, Ofimática, Seguridad]</w:t>
      </w:r>
    </w:p>
    <w:p>
      <w:pPr>
        <w:numPr>
          <w:ilvl w:val="0"/>
          <w:numId w:val="1031"/>
        </w:numPr>
        <w:pStyle w:val="Compact"/>
      </w:pPr>
      <w:r>
        <w:t xml:space="preserve">Proceso(s) de Negocio Clave(s)</w:t>
      </w:r>
    </w:p>
    <w:p>
      <w:pPr>
        <w:numPr>
          <w:ilvl w:val="0"/>
          <w:numId w:val="1031"/>
        </w:numPr>
        <w:pStyle w:val="Compact"/>
      </w:pPr>
      <w:r>
        <w:t xml:space="preserve">Capacidad: Capacidades de nivel 2 relacionadas con la aplicación de software.</w:t>
      </w:r>
    </w:p>
    <w:p>
      <w:pPr>
        <w:numPr>
          <w:ilvl w:val="0"/>
          <w:numId w:val="1031"/>
        </w:numPr>
        <w:pStyle w:val="Compact"/>
      </w:pPr>
      <w:r>
        <w:t xml:space="preserve">Tipo de aplicación: Web, Móvil, Cliente Servidor</w:t>
      </w:r>
    </w:p>
    <w:p>
      <w:pPr>
        <w:numPr>
          <w:ilvl w:val="0"/>
          <w:numId w:val="1031"/>
        </w:numPr>
        <w:pStyle w:val="Compact"/>
      </w:pPr>
      <w:r>
        <w:t xml:space="preserve">Método de despliegue: on-premises, cloud SAAS, cloud PAAS, cloud IAAS</w:t>
      </w:r>
    </w:p>
    <w:p>
      <w:pPr>
        <w:numPr>
          <w:ilvl w:val="0"/>
          <w:numId w:val="1031"/>
        </w:numPr>
        <w:pStyle w:val="Compact"/>
      </w:pPr>
      <w:r>
        <w:t xml:space="preserve">Tecnología. Aspectos técnicos de la aplicación de software.</w:t>
      </w:r>
    </w:p>
    <w:p>
      <w:pPr>
        <w:numPr>
          <w:ilvl w:val="0"/>
          <w:numId w:val="1031"/>
        </w:numPr>
        <w:pStyle w:val="Compact"/>
      </w:pPr>
      <w:r>
        <w:t xml:space="preserve">Versión actual de la tecnología</w:t>
      </w:r>
    </w:p>
    <w:p>
      <w:pPr>
        <w:numPr>
          <w:ilvl w:val="0"/>
          <w:numId w:val="1031"/>
        </w:numPr>
        <w:pStyle w:val="Compact"/>
      </w:pPr>
      <w:r>
        <w:t xml:space="preserve">Responsable técnico en la entidad</w:t>
      </w:r>
    </w:p>
    <w:p>
      <w:pPr>
        <w:numPr>
          <w:ilvl w:val="0"/>
          <w:numId w:val="1031"/>
        </w:numPr>
        <w:pStyle w:val="Compact"/>
      </w:pPr>
      <w:r>
        <w:t xml:space="preserve">Responsable funcional en la entidad</w:t>
      </w:r>
    </w:p>
    <w:p>
      <w:pPr>
        <w:numPr>
          <w:ilvl w:val="0"/>
          <w:numId w:val="1031"/>
        </w:numPr>
        <w:pStyle w:val="Compact"/>
      </w:pPr>
      <w:r>
        <w:t xml:space="preserve">Fabricante</w:t>
      </w:r>
    </w:p>
    <w:p>
      <w:pPr>
        <w:numPr>
          <w:ilvl w:val="0"/>
          <w:numId w:val="1031"/>
        </w:numPr>
        <w:pStyle w:val="Compact"/>
      </w:pPr>
      <w:r>
        <w:t xml:space="preserve">Proveedor de soporte externo</w:t>
      </w:r>
    </w:p>
    <w:p>
      <w:pPr>
        <w:numPr>
          <w:ilvl w:val="0"/>
          <w:numId w:val="1031"/>
        </w:numPr>
        <w:pStyle w:val="Compact"/>
      </w:pPr>
      <w:r>
        <w:t xml:space="preserve">Fecha de vigencia de soporte externo</w:t>
      </w:r>
    </w:p>
    <w:p>
      <w:pPr>
        <w:numPr>
          <w:ilvl w:val="0"/>
          <w:numId w:val="1031"/>
        </w:numPr>
        <w:pStyle w:val="Compact"/>
      </w:pPr>
      <w:r>
        <w:t xml:space="preserve">Nombre de servidor. Nombre de red del entorno o nodo contenedor de la aplicación de software.</w:t>
      </w:r>
    </w:p>
    <w:p>
      <w:pPr>
        <w:numPr>
          <w:ilvl w:val="0"/>
          <w:numId w:val="1031"/>
        </w:numPr>
        <w:pStyle w:val="Compact"/>
      </w:pPr>
      <w:r>
        <w:t xml:space="preserve">Criticidad de negocio</w:t>
      </w:r>
    </w:p>
    <w:p>
      <w:pPr>
        <w:pStyle w:val="FirstParagraph"/>
      </w:pPr>
      <w:r>
        <w:t xml:space="preserve">El Catálogo de aplicaciones de SG procura beneficios estratégicos y operativos:</w:t>
      </w:r>
    </w:p>
    <w:p>
      <w:pPr>
        <w:numPr>
          <w:ilvl w:val="0"/>
          <w:numId w:val="1032"/>
        </w:numPr>
        <w:pStyle w:val="Compact"/>
      </w:pPr>
      <w:r>
        <w:t xml:space="preserve">Unifica la documentación y la comunicación: Es un artefacto clave para documentar, comprender y comunicar el panorama actual y futuro de las aplicaciones.</w:t>
      </w:r>
    </w:p>
    <w:p>
      <w:pPr>
        <w:numPr>
          <w:ilvl w:val="0"/>
          <w:numId w:val="1032"/>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32"/>
        </w:numPr>
        <w:pStyle w:val="Compact"/>
      </w:pPr>
      <w:r>
        <w:t xml:space="preserve">Facilita la actualización continua: Permite la actualización continua de las características y atributos relevantes de los sistemas de información.</w:t>
      </w:r>
    </w:p>
    <w:bookmarkEnd w:id="30"/>
    <w:bookmarkEnd w:id="31"/>
    <w:bookmarkEnd w:id="32"/>
    <w:bookmarkEnd w:id="3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2025-08-13T15:44:31Z</dcterms:created>
  <dcterms:modified xsi:type="dcterms:W3CDTF">2025-08-13T15:44:31Z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