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pStyle w:val="BodyText"/>
      </w:pPr>
      <w:r>
        <w:t xml:space="preserve">• Definir la arquitectura de las aplicaciones necesarias para soportar los procesos de negocio.</w:t>
      </w:r>
      <w:r>
        <w:t xml:space="preserve"> </w:t>
      </w:r>
      <w:r>
        <w:t xml:space="preserve">• Identificar y caracterizar las aplicaciones de software que soportan las capacidades de negocio de la Secretaría General.</w:t>
      </w:r>
      <w:r>
        <w:t xml:space="preserve"> </w:t>
      </w:r>
      <w:r>
        <w:t xml:space="preserve">• Identificar las integraciones entre las aplicaciones.</w:t>
      </w:r>
      <w:r>
        <w:t xml:space="preserve"> </w:t>
      </w:r>
      <w:r>
        <w:t xml:space="preserve">• Considerar aspectos como obsolescencia, mantenimiento, gobierno de aplicaciones, escalabilidad, rendimiento y la seguridad de las aplicaciones.</w:t>
      </w:r>
    </w:p>
    <w:p>
      <w:pPr>
        <w:pStyle w:val="BodyText"/>
      </w:pPr>
      <w:r>
        <w:t xml:space="preserve">El trabajo de la arquitectura de aplicaciones opera en conjunto y coordinación con otros dominios y fases de la arquitectura empresarial de la Secretaría General, de la siguiente manera:</w:t>
      </w:r>
    </w:p>
    <w:p>
      <w:pPr>
        <w:pStyle w:val="BodyText"/>
      </w:pPr>
      <w:r>
        <w:t xml:space="preserve">• 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r>
        <w:t xml:space="preserve"> </w:t>
      </w:r>
      <w:r>
        <w:t xml:space="preserve">• 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r>
        <w:t xml:space="preserve"> </w:t>
      </w:r>
      <w:r>
        <w:t xml:space="preserve">• Relación con la arquitectura tecnológica: Este dominio proporciona bases y requisitos para el dominio de tecnología e infraestructura, que servirá a su vez para soportar la operación de las aplicaciones y gestionar los datos.</w:t>
      </w:r>
      <w:r>
        <w:t xml:space="preserve"> </w:t>
      </w:r>
      <w:r>
        <w:t xml:space="preserve">• 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3"/>
        </w:numPr>
        <w:pStyle w:val="Compact"/>
      </w:pPr>
      <w:r>
        <w:t xml:space="preserve">Definir la arquitectura de las aplicaciones (SI) necesarias para soportar los procesos de negocio de la SG.</w:t>
      </w:r>
    </w:p>
    <w:p>
      <w:pPr>
        <w:numPr>
          <w:ilvl w:val="0"/>
          <w:numId w:val="1003"/>
        </w:numPr>
        <w:pStyle w:val="Compact"/>
      </w:pPr>
      <w:r>
        <w:t xml:space="preserve">Identificar las funciones de negocio que deben ser soportadas por las aplicaciones de la SG.</w:t>
      </w:r>
    </w:p>
    <w:p>
      <w:pPr>
        <w:numPr>
          <w:ilvl w:val="0"/>
          <w:numId w:val="1003"/>
        </w:numPr>
        <w:pStyle w:val="Compact"/>
      </w:pPr>
      <w:r>
        <w:t xml:space="preserve">Establecer la interacción y el flujo de información entre las diferentes aplicaciones de la SG.</w:t>
      </w:r>
    </w:p>
    <w:p>
      <w:pPr>
        <w:numPr>
          <w:ilvl w:val="0"/>
          <w:numId w:val="1003"/>
        </w:numPr>
        <w:pStyle w:val="Compact"/>
      </w:pPr>
      <w:r>
        <w:t xml:space="preserve">Considerar aspectos sistémicos como la escalabilidad, el rendimiento, la mantenibilidad y la seguridad de las aplicaciones de SG.</w:t>
      </w:r>
    </w:p>
    <w:p>
      <w:pPr>
        <w:numPr>
          <w:ilvl w:val="0"/>
          <w:numId w:val="1003"/>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4"/>
        </w:numPr>
        <w:pStyle w:val="Compact"/>
      </w:pPr>
      <w:r>
        <w:t xml:space="preserve">Secretaría Privada</w:t>
      </w:r>
    </w:p>
    <w:p>
      <w:pPr>
        <w:numPr>
          <w:ilvl w:val="1"/>
          <w:numId w:val="1005"/>
        </w:numPr>
        <w:pStyle w:val="Compact"/>
      </w:pPr>
      <w:r>
        <w:t xml:space="preserve">Oficina Consejería Distrital de Comunicación. César Augusto Castro Rodríguez</w:t>
      </w:r>
    </w:p>
    <w:p>
      <w:pPr>
        <w:numPr>
          <w:ilvl w:val="1"/>
          <w:numId w:val="1005"/>
        </w:numPr>
        <w:pStyle w:val="Compact"/>
      </w:pPr>
      <w:r>
        <w:t xml:space="preserve">Oficina Consejería Distrital de Tecnologías de la Información y las Comunicaciones -TIC. Diana Celis Mora</w:t>
      </w:r>
    </w:p>
    <w:p>
      <w:pPr>
        <w:numPr>
          <w:ilvl w:val="0"/>
          <w:numId w:val="1004"/>
        </w:numPr>
        <w:pStyle w:val="Compact"/>
      </w:pPr>
      <w:r>
        <w:t xml:space="preserve">Despacho del Secretario General. Miguel Andrés Silva Moyano</w:t>
      </w:r>
    </w:p>
    <w:p>
      <w:pPr>
        <w:numPr>
          <w:ilvl w:val="1"/>
          <w:numId w:val="1006"/>
        </w:numPr>
        <w:pStyle w:val="Compact"/>
      </w:pPr>
      <w:r>
        <w:t xml:space="preserve">Oficina de Tecnologías de la Información y las Comunicaciones. Arleth Patricia Saurith Contreras</w:t>
      </w:r>
    </w:p>
    <w:p>
      <w:pPr>
        <w:numPr>
          <w:ilvl w:val="1"/>
          <w:numId w:val="1006"/>
        </w:numPr>
        <w:pStyle w:val="Compact"/>
      </w:pPr>
      <w:r>
        <w:t xml:space="preserve">Subsecretaría Distrital de Fortalecimiento Institucional. Alejandra Rodas Gaiter</w:t>
      </w:r>
    </w:p>
    <w:p>
      <w:pPr>
        <w:numPr>
          <w:ilvl w:val="2"/>
          <w:numId w:val="1007"/>
        </w:numPr>
        <w:pStyle w:val="Compact"/>
      </w:pPr>
      <w:r>
        <w:t xml:space="preserve">Dirección Distrital de Desarrollo Institucional. Sebastian Estrada Jaramillo</w:t>
      </w:r>
    </w:p>
    <w:p>
      <w:pPr>
        <w:numPr>
          <w:ilvl w:val="3"/>
          <w:numId w:val="1008"/>
        </w:numPr>
        <w:pStyle w:val="Compact"/>
      </w:pPr>
      <w:r>
        <w:t xml:space="preserve">Subdirección Técnica de Desarrollo Institucional. Diego Canesco Arenas</w:t>
      </w:r>
    </w:p>
    <w:p>
      <w:pPr>
        <w:numPr>
          <w:ilvl w:val="1"/>
          <w:numId w:val="1006"/>
        </w:numPr>
        <w:pStyle w:val="Compact"/>
      </w:pPr>
      <w:r>
        <w:t xml:space="preserve">Subsecretaría de Servicio a la Ciudadanía . Adriana Vargas Tamayo</w:t>
      </w:r>
    </w:p>
    <w:p>
      <w:pPr>
        <w:numPr>
          <w:ilvl w:val="2"/>
          <w:numId w:val="1009"/>
        </w:numPr>
        <w:pStyle w:val="Compact"/>
      </w:pPr>
      <w:r>
        <w:t xml:space="preserve">Dirección del Sistema Distrital de Servicio a la Ciudadanía. Enrique Cusba García</w:t>
      </w:r>
    </w:p>
    <w:p>
      <w:pPr>
        <w:numPr>
          <w:ilvl w:val="1"/>
          <w:numId w:val="1006"/>
        </w:numPr>
        <w:pStyle w:val="Compact"/>
      </w:pPr>
      <w:r>
        <w:t xml:space="preserve">Subsecretaría Corporativa. Henry Villamarín Serrano</w:t>
      </w:r>
    </w:p>
    <w:p>
      <w:pPr>
        <w:numPr>
          <w:ilvl w:val="1"/>
          <w:numId w:val="1006"/>
        </w:numPr>
        <w:pStyle w:val="Compact"/>
      </w:pPr>
      <w:r>
        <w:t xml:space="preserve">Subsecretaría de Servicios Ciudadanos</w:t>
      </w:r>
    </w:p>
    <w:p>
      <w:pPr>
        <w:numPr>
          <w:ilvl w:val="1"/>
          <w:numId w:val="1006"/>
        </w:numPr>
        <w:pStyle w:val="Compact"/>
      </w:pPr>
      <w:r>
        <w:t xml:space="preserve">Subsecretaría de Operaciones</w:t>
      </w:r>
    </w:p>
    <w:p>
      <w:pPr>
        <w:numPr>
          <w:ilvl w:val="1"/>
          <w:numId w:val="1006"/>
        </w:numPr>
        <w:pStyle w:val="Compact"/>
      </w:pPr>
      <w:r>
        <w:t xml:space="preserve">Subsecretaría de Relaciones Internacionales</w:t>
      </w:r>
    </w:p>
    <w:p>
      <w:pPr>
        <w:numPr>
          <w:ilvl w:val="1"/>
          <w:numId w:val="1006"/>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0"/>
        </w:numPr>
        <w:pStyle w:val="Compact"/>
      </w:pPr>
      <w:r>
        <w:t xml:space="preserve">Administrativo y Financiero: Soporta la gestión financiera, gestión de servicios administrativos y tecnológicos, y gestión de recursos físicos</w:t>
      </w:r>
    </w:p>
    <w:p>
      <w:pPr>
        <w:numPr>
          <w:ilvl w:val="0"/>
          <w:numId w:val="1010"/>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0"/>
        </w:numPr>
        <w:pStyle w:val="Compact"/>
      </w:pPr>
      <w:r>
        <w:t xml:space="preserve">Bogotá Aprende TIC: Apoya los procesos de Gobierno abierto y relacionamiento con la ciudadanía, y Fortalecimiento de la Gestión Pública</w:t>
      </w:r>
    </w:p>
    <w:p>
      <w:pPr>
        <w:numPr>
          <w:ilvl w:val="0"/>
          <w:numId w:val="1010"/>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0"/>
        </w:numPr>
        <w:pStyle w:val="Compact"/>
      </w:pPr>
      <w:r>
        <w:t xml:space="preserve">SIGA: Interviene en la gestión de contratación, gestión financiera, gestión de servicios administrativos y tecnológicos, y gestión de recursos físicos</w:t>
      </w:r>
    </w:p>
    <w:p>
      <w:pPr>
        <w:numPr>
          <w:ilvl w:val="0"/>
          <w:numId w:val="1010"/>
        </w:numPr>
        <w:pStyle w:val="Compact"/>
      </w:pPr>
      <w:r>
        <w:t xml:space="preserve">SAT Web: Relacionado con la gestión de servicios administrativos y tecnológicos</w:t>
      </w:r>
    </w:p>
    <w:p>
      <w:pPr>
        <w:numPr>
          <w:ilvl w:val="0"/>
          <w:numId w:val="1010"/>
        </w:numPr>
        <w:pStyle w:val="Compact"/>
      </w:pPr>
      <w:r>
        <w:t xml:space="preserve">GLOBO: Utilizado en el proceso de Fortalecimiento de la Gestión Pública</w:t>
      </w:r>
    </w:p>
    <w:p>
      <w:pPr>
        <w:numPr>
          <w:ilvl w:val="0"/>
          <w:numId w:val="1010"/>
        </w:numPr>
        <w:pStyle w:val="Compact"/>
      </w:pPr>
      <w:r>
        <w:t xml:space="preserve">Datos para la Transparencia (SATI): Soporta el proceso de Gobierno abierto y relacionamiento con la ciudadanía</w:t>
      </w:r>
    </w:p>
    <w:p>
      <w:pPr>
        <w:numPr>
          <w:ilvl w:val="0"/>
          <w:numId w:val="1010"/>
        </w:numPr>
        <w:pStyle w:val="Compact"/>
      </w:pPr>
      <w:r>
        <w:t xml:space="preserve">SUDIVC: Se aplica en los procesos de Gobierno abierto y relacionamiento con la ciudadanía, Paz, víctimas y reconciliación, y Fortalecimiento de la Gestión Pública</w:t>
      </w:r>
    </w:p>
    <w:p>
      <w:pPr>
        <w:numPr>
          <w:ilvl w:val="0"/>
          <w:numId w:val="1010"/>
        </w:numPr>
        <w:pStyle w:val="Compact"/>
      </w:pPr>
      <w:r>
        <w:t xml:space="preserve">HUMANAPP: Apoya la gestión del talento humano</w:t>
      </w:r>
    </w:p>
    <w:p>
      <w:pPr>
        <w:numPr>
          <w:ilvl w:val="0"/>
          <w:numId w:val="1010"/>
        </w:numPr>
        <w:pStyle w:val="Compact"/>
      </w:pPr>
      <w:r>
        <w:t xml:space="preserve">SIAB (El COFRE): Utilizado en los procesos de Gobierno abierto y relacionamiento con la ciudadanía, y Fortalecimiento de la Gestión Pública</w:t>
      </w:r>
    </w:p>
    <w:p>
      <w:pPr>
        <w:numPr>
          <w:ilvl w:val="0"/>
          <w:numId w:val="1010"/>
        </w:numPr>
        <w:pStyle w:val="Compact"/>
      </w:pPr>
      <w:r>
        <w:t xml:space="preserve">KOHA: Relacionado con la Gestión del conocimiento</w:t>
      </w:r>
    </w:p>
    <w:p>
      <w:pPr>
        <w:numPr>
          <w:ilvl w:val="0"/>
          <w:numId w:val="1010"/>
        </w:numPr>
        <w:pStyle w:val="Compact"/>
      </w:pPr>
      <w:r>
        <w:t xml:space="preserve">SIVIC: Interviene en los procesos de Paz, víctimas y reconciliación, y Fortalecimiento de la Gestión Pública</w:t>
      </w:r>
    </w:p>
    <w:p>
      <w:pPr>
        <w:numPr>
          <w:ilvl w:val="0"/>
          <w:numId w:val="1010"/>
        </w:numPr>
        <w:pStyle w:val="Compact"/>
      </w:pPr>
      <w:r>
        <w:t xml:space="preserve">Data Warehouse AVANTI: Apoya la Gestión del conocimiento</w:t>
      </w:r>
    </w:p>
    <w:p>
      <w:pPr>
        <w:numPr>
          <w:ilvl w:val="0"/>
          <w:numId w:val="1010"/>
        </w:numPr>
        <w:pStyle w:val="Compact"/>
      </w:pPr>
      <w:r>
        <w:t xml:space="preserve">Gestión Académica: Relacionado con la Gestión del conocimiento</w:t>
      </w:r>
    </w:p>
    <w:p>
      <w:pPr>
        <w:numPr>
          <w:ilvl w:val="0"/>
          <w:numId w:val="1010"/>
        </w:numPr>
        <w:pStyle w:val="Compact"/>
      </w:pPr>
      <w:r>
        <w:t xml:space="preserve">EMLAZE: Utilizado en los procesos de Gobierno abierto y relacionamiento con la ciudadanía, y Fortalecimiento de la Gestión Pública</w:t>
      </w:r>
    </w:p>
    <w:p>
      <w:pPr>
        <w:numPr>
          <w:ilvl w:val="0"/>
          <w:numId w:val="1010"/>
        </w:numPr>
        <w:pStyle w:val="Compact"/>
      </w:pPr>
      <w:r>
        <w:t xml:space="preserve">GLPI: Soporta la gestión de servicios administrativos y tecnológicos</w:t>
      </w:r>
    </w:p>
    <w:p>
      <w:pPr>
        <w:numPr>
          <w:ilvl w:val="0"/>
          <w:numId w:val="1010"/>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1"/>
        </w:numPr>
        <w:pStyle w:val="Compact"/>
      </w:pPr>
      <w:r>
        <w:t xml:space="preserve">Las matrices son cruciales para especificar cómo debe relacionarse la información entre los sistemas y otros dominios</w:t>
      </w:r>
    </w:p>
    <w:p>
      <w:pPr>
        <w:numPr>
          <w:ilvl w:val="0"/>
          <w:numId w:val="1011"/>
        </w:numPr>
        <w:pStyle w:val="Compact"/>
      </w:pPr>
      <w:r>
        <w:t xml:space="preserve">proporcionan información crítica para los proyectos que involucren a los sistemas de SG.</w:t>
      </w:r>
    </w:p>
    <w:p>
      <w:pPr>
        <w:numPr>
          <w:ilvl w:val="0"/>
          <w:numId w:val="1011"/>
        </w:numPr>
        <w:pStyle w:val="Compact"/>
      </w:pPr>
      <w:r>
        <w:t xml:space="preserve">Contribuye a la determinación de brechas (gaps) en las necesidades de compartir información (o funciones de los sistemas) ente los elementos de la matriz.</w:t>
      </w:r>
    </w:p>
    <w:p>
      <w:pPr>
        <w:numPr>
          <w:ilvl w:val="0"/>
          <w:numId w:val="1011"/>
        </w:numPr>
        <w:pStyle w:val="Compact"/>
      </w:pPr>
      <w:r>
        <w:t xml:space="preserve">La matriz ayuda a definir el nivel de detalle de lo que se comparte.</w:t>
      </w:r>
    </w:p>
    <w:p>
      <w:pPr>
        <w:numPr>
          <w:ilvl w:val="0"/>
          <w:numId w:val="1011"/>
        </w:numPr>
        <w:pStyle w:val="Compact"/>
      </w:pPr>
      <w:r>
        <w:t xml:space="preserve">Se deben establecer medidas similares para la interoperabilidad de servicios/negocios y la infraestructura (tecnología física).</w:t>
      </w:r>
    </w:p>
    <w:p>
      <w:pPr>
        <w:numPr>
          <w:ilvl w:val="0"/>
          <w:numId w:val="101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2"/>
        </w:numPr>
        <w:pStyle w:val="Compact"/>
      </w:pPr>
      <w:r>
        <w:t xml:space="preserve">ID de Aplicación. Código de identificación de la aplicación de software.</w:t>
      </w:r>
    </w:p>
    <w:p>
      <w:pPr>
        <w:numPr>
          <w:ilvl w:val="0"/>
          <w:numId w:val="1012"/>
        </w:numPr>
        <w:pStyle w:val="Compact"/>
      </w:pPr>
      <w:r>
        <w:t xml:space="preserve">Nombre de la Aplicación. Nombre de identificación de la aplicación de software.</w:t>
      </w:r>
    </w:p>
    <w:p>
      <w:pPr>
        <w:numPr>
          <w:ilvl w:val="0"/>
          <w:numId w:val="1012"/>
        </w:numPr>
        <w:pStyle w:val="Compact"/>
      </w:pPr>
      <w:r>
        <w:t xml:space="preserve">Descripción. Funcionamiento básico de la aplicación de software.</w:t>
      </w:r>
    </w:p>
    <w:p>
      <w:pPr>
        <w:numPr>
          <w:ilvl w:val="0"/>
          <w:numId w:val="1012"/>
        </w:numPr>
        <w:pStyle w:val="Compact"/>
      </w:pPr>
      <w:r>
        <w:t xml:space="preserve">Estado: [En producción, en desmantelamiento, en implementación, Inactiva]</w:t>
      </w:r>
    </w:p>
    <w:p>
      <w:pPr>
        <w:numPr>
          <w:ilvl w:val="0"/>
          <w:numId w:val="1012"/>
        </w:numPr>
        <w:pStyle w:val="Compact"/>
      </w:pPr>
      <w:r>
        <w:t xml:space="preserve">Categoría: [Sistema de apoyo al negocio (misional), herramienta de gestión, Ofimática, Seguridad]</w:t>
      </w:r>
    </w:p>
    <w:p>
      <w:pPr>
        <w:numPr>
          <w:ilvl w:val="0"/>
          <w:numId w:val="1012"/>
        </w:numPr>
        <w:pStyle w:val="Compact"/>
      </w:pPr>
      <w:r>
        <w:t xml:space="preserve">Proceso(s) de Negocio Clave(s)</w:t>
      </w:r>
    </w:p>
    <w:p>
      <w:pPr>
        <w:numPr>
          <w:ilvl w:val="0"/>
          <w:numId w:val="1012"/>
        </w:numPr>
        <w:pStyle w:val="Compact"/>
      </w:pPr>
      <w:r>
        <w:t xml:space="preserve">Capacidad: Capacidades de nivel 2 relacionadas con la aplicación de software.</w:t>
      </w:r>
    </w:p>
    <w:p>
      <w:pPr>
        <w:numPr>
          <w:ilvl w:val="0"/>
          <w:numId w:val="1012"/>
        </w:numPr>
        <w:pStyle w:val="Compact"/>
      </w:pPr>
      <w:r>
        <w:t xml:space="preserve">Tipo de aplicación: Web, Móvil, Cliente Servidor</w:t>
      </w:r>
    </w:p>
    <w:p>
      <w:pPr>
        <w:numPr>
          <w:ilvl w:val="0"/>
          <w:numId w:val="1012"/>
        </w:numPr>
        <w:pStyle w:val="Compact"/>
      </w:pPr>
      <w:r>
        <w:t xml:space="preserve">Método de despliegue: on-premises, cloud SAAS, cloud PAAS, cloud IAAS</w:t>
      </w:r>
    </w:p>
    <w:p>
      <w:pPr>
        <w:numPr>
          <w:ilvl w:val="0"/>
          <w:numId w:val="1012"/>
        </w:numPr>
        <w:pStyle w:val="Compact"/>
      </w:pPr>
      <w:r>
        <w:t xml:space="preserve">Tecnología. Aspectos técnicos de la aplicación de software.</w:t>
      </w:r>
    </w:p>
    <w:p>
      <w:pPr>
        <w:numPr>
          <w:ilvl w:val="0"/>
          <w:numId w:val="1012"/>
        </w:numPr>
        <w:pStyle w:val="Compact"/>
      </w:pPr>
      <w:r>
        <w:t xml:space="preserve">Versión actual de la tecnología</w:t>
      </w:r>
    </w:p>
    <w:p>
      <w:pPr>
        <w:numPr>
          <w:ilvl w:val="0"/>
          <w:numId w:val="1012"/>
        </w:numPr>
        <w:pStyle w:val="Compact"/>
      </w:pPr>
      <w:r>
        <w:t xml:space="preserve">Responsable técnico en la entidad</w:t>
      </w:r>
    </w:p>
    <w:p>
      <w:pPr>
        <w:numPr>
          <w:ilvl w:val="0"/>
          <w:numId w:val="1012"/>
        </w:numPr>
        <w:pStyle w:val="Compact"/>
      </w:pPr>
      <w:r>
        <w:t xml:space="preserve">Responsable funcional en la entidad</w:t>
      </w:r>
    </w:p>
    <w:p>
      <w:pPr>
        <w:numPr>
          <w:ilvl w:val="0"/>
          <w:numId w:val="1012"/>
        </w:numPr>
        <w:pStyle w:val="Compact"/>
      </w:pPr>
      <w:r>
        <w:t xml:space="preserve">Fabricante</w:t>
      </w:r>
    </w:p>
    <w:p>
      <w:pPr>
        <w:numPr>
          <w:ilvl w:val="0"/>
          <w:numId w:val="1012"/>
        </w:numPr>
        <w:pStyle w:val="Compact"/>
      </w:pPr>
      <w:r>
        <w:t xml:space="preserve">Proveedor de soporte externo</w:t>
      </w:r>
    </w:p>
    <w:p>
      <w:pPr>
        <w:numPr>
          <w:ilvl w:val="0"/>
          <w:numId w:val="1012"/>
        </w:numPr>
        <w:pStyle w:val="Compact"/>
      </w:pPr>
      <w:r>
        <w:t xml:space="preserve">Fecha de vigencia de soporte externo</w:t>
      </w:r>
    </w:p>
    <w:p>
      <w:pPr>
        <w:numPr>
          <w:ilvl w:val="0"/>
          <w:numId w:val="1012"/>
        </w:numPr>
        <w:pStyle w:val="Compact"/>
      </w:pPr>
      <w:r>
        <w:t xml:space="preserve">Nombre de servidor. Nombre de red del entorno o nodo contenedor de la aplicación de software.</w:t>
      </w:r>
    </w:p>
    <w:p>
      <w:pPr>
        <w:numPr>
          <w:ilvl w:val="0"/>
          <w:numId w:val="1012"/>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3"/>
        </w:numPr>
        <w:pStyle w:val="Compact"/>
      </w:pPr>
      <w:r>
        <w:t xml:space="preserve">Unifica la documentación y la comunicación: es un artefacto clave para documentar, comprender y comunicar el panorama actual y futuro de las aplicaciones.</w:t>
      </w:r>
    </w:p>
    <w:p>
      <w:pPr>
        <w:numPr>
          <w:ilvl w:val="0"/>
          <w:numId w:val="1013"/>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3"/>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4"/>
        </w:numPr>
        <w:pStyle w:val="Compact"/>
      </w:pPr>
      <w:r>
        <w:t xml:space="preserve">Impulsar la transformación digital para alinear estrategias, procesos y tecnologías, que resulte en el aumento de eficiencia de la gestión pública.</w:t>
      </w:r>
    </w:p>
    <w:p>
      <w:pPr>
        <w:numPr>
          <w:ilvl w:val="0"/>
          <w:numId w:val="1014"/>
        </w:numPr>
        <w:pStyle w:val="Compact"/>
      </w:pPr>
      <w:r>
        <w:t xml:space="preserve">Cerrar las brechas en la Política de Gobierno Digital, de la cual la Arquitectura Empresarial es un habilitador clave.</w:t>
      </w:r>
    </w:p>
    <w:p>
      <w:pPr>
        <w:numPr>
          <w:ilvl w:val="0"/>
          <w:numId w:val="1014"/>
        </w:numPr>
        <w:pStyle w:val="Compact"/>
      </w:pPr>
      <w:r>
        <w:t xml:space="preserve">Modernizar la infraestructura tecnológica que resulte del análisis de obsolescencia para asegurar su continuidad y disponibilidad.</w:t>
      </w:r>
    </w:p>
    <w:p>
      <w:pPr>
        <w:numPr>
          <w:ilvl w:val="0"/>
          <w:numId w:val="1014"/>
        </w:numPr>
        <w:pStyle w:val="Compact"/>
      </w:pPr>
      <w:r>
        <w:t xml:space="preserve">Integrar plataformas y ecosistemas digitales y superar la falta de interoperabilidad.</w:t>
      </w:r>
    </w:p>
    <w:p>
      <w:pPr>
        <w:numPr>
          <w:ilvl w:val="0"/>
          <w:numId w:val="1014"/>
        </w:numPr>
        <w:pStyle w:val="Compact"/>
      </w:pPr>
      <w:r>
        <w:t xml:space="preserve">Aumentar la automatización de los trámites digitales.</w:t>
      </w:r>
    </w:p>
    <w:p>
      <w:pPr>
        <w:numPr>
          <w:ilvl w:val="0"/>
          <w:numId w:val="1014"/>
        </w:numPr>
        <w:pStyle w:val="Compact"/>
      </w:pPr>
      <w:r>
        <w:t xml:space="preserve">Estandarizar la gestión y gobernanza de datos públicos.</w:t>
      </w:r>
    </w:p>
    <w:p>
      <w:pPr>
        <w:numPr>
          <w:ilvl w:val="0"/>
          <w:numId w:val="1014"/>
        </w:numPr>
        <w:pStyle w:val="Compact"/>
      </w:pPr>
      <w:r>
        <w:t xml:space="preserve">Mejorar el soporte que los sistemas de información (SI) dan a la toma de decisiones basada en evidencia.</w:t>
      </w:r>
    </w:p>
    <w:p>
      <w:pPr>
        <w:numPr>
          <w:ilvl w:val="0"/>
          <w:numId w:val="1014"/>
        </w:numPr>
        <w:pStyle w:val="Compact"/>
      </w:pPr>
      <w:r>
        <w:t xml:space="preserve">Generar análisis predictivos y prospectivos de resultados de gestión, que son insumos para la toma de decisiones.</w:t>
      </w:r>
    </w:p>
    <w:p>
      <w:pPr>
        <w:numPr>
          <w:ilvl w:val="0"/>
          <w:numId w:val="1014"/>
        </w:numPr>
        <w:pStyle w:val="Compact"/>
      </w:pPr>
      <w:r>
        <w:t xml:space="preserve">Contar con disponibilidad de personal adecuado para actualizar plataformas tecnológicas y gestionar las cargas de trabajo.</w:t>
      </w:r>
    </w:p>
    <w:p>
      <w:pPr>
        <w:numPr>
          <w:ilvl w:val="0"/>
          <w:numId w:val="1014"/>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4"/>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5"/>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5"/>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5"/>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5"/>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5"/>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5"/>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6"/>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6"/>
        </w:numPr>
        <w:pStyle w:val="Compact"/>
      </w:pPr>
      <w:r>
        <w:t xml:space="preserve">Equipos tecnológicos y aplicaciones de software en potencial obsolescencia, que generan dificultad en la ejecución de las actividades que desarrolla la entidad.</w:t>
      </w:r>
    </w:p>
    <w:p>
      <w:pPr>
        <w:numPr>
          <w:ilvl w:val="0"/>
          <w:numId w:val="1016"/>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6"/>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6"/>
        </w:numPr>
        <w:pStyle w:val="Compact"/>
      </w:pPr>
      <w:r>
        <w:t xml:space="preserve">Debilidad en la capacidad de extraer información dinámica que sirva como insumo para la toma de decisiones basado en evidencia.</w:t>
      </w:r>
    </w:p>
    <w:p>
      <w:pPr>
        <w:numPr>
          <w:ilvl w:val="0"/>
          <w:numId w:val="1016"/>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6"/>
        </w:numPr>
        <w:pStyle w:val="Compact"/>
      </w:pPr>
      <w:r>
        <w:t xml:space="preserve">Falta de personal para actualizar las plataformas tecnológicas, lo que genera retrasos en la operación de la entidad.</w:t>
      </w:r>
    </w:p>
    <w:p>
      <w:pPr>
        <w:numPr>
          <w:ilvl w:val="0"/>
          <w:numId w:val="1016"/>
        </w:numPr>
        <w:pStyle w:val="Compact"/>
      </w:pPr>
      <w:r>
        <w:t xml:space="preserve">Deficiente conectividad y falta de interoperabilidad de las plataformas tecnológicas.</w:t>
      </w:r>
    </w:p>
    <w:p>
      <w:pPr>
        <w:numPr>
          <w:ilvl w:val="0"/>
          <w:numId w:val="1016"/>
        </w:numPr>
        <w:pStyle w:val="Compact"/>
      </w:pPr>
      <w:r>
        <w:t xml:space="preserve">Cambios en las plataformas tecnológicas que no interactúan con las anteriores, lo cual expone a la SG a posibles pérdidas de información y reprocesos.</w:t>
      </w:r>
    </w:p>
    <w:p>
      <w:pPr>
        <w:numPr>
          <w:ilvl w:val="0"/>
          <w:numId w:val="1016"/>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7"/>
        </w:numPr>
        <w:pStyle w:val="Compact"/>
      </w:pPr>
      <w:r>
        <w:t xml:space="preserve">Modernización de la infraestructura y sistemas tecnológicos</w:t>
      </w:r>
    </w:p>
    <w:p>
      <w:pPr>
        <w:numPr>
          <w:ilvl w:val="1"/>
          <w:numId w:val="1018"/>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8"/>
        </w:numPr>
        <w:pStyle w:val="Compact"/>
      </w:pPr>
      <w:r>
        <w:t xml:space="preserve">Una oportunidad es la adquisición y puesta en producción de software especializado en análisis de datos para la toma de decisiones que ya poseen otras entidades.</w:t>
      </w:r>
    </w:p>
    <w:p>
      <w:pPr>
        <w:numPr>
          <w:ilvl w:val="0"/>
          <w:numId w:val="1017"/>
        </w:numPr>
        <w:pStyle w:val="Compact"/>
      </w:pPr>
      <w:r>
        <w:t xml:space="preserve">Integración y automatización de procesos</w:t>
      </w:r>
    </w:p>
    <w:p>
      <w:pPr>
        <w:numPr>
          <w:ilvl w:val="1"/>
          <w:numId w:val="1019"/>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9"/>
        </w:numPr>
        <w:pStyle w:val="Compact"/>
      </w:pPr>
      <w:r>
        <w:t xml:space="preserve">Se buscan mejores controles e integración de sistemas distritales con los canales de la Secretaría General.</w:t>
      </w:r>
    </w:p>
    <w:p>
      <w:pPr>
        <w:numPr>
          <w:ilvl w:val="1"/>
          <w:numId w:val="1019"/>
        </w:numPr>
        <w:pStyle w:val="Compact"/>
      </w:pPr>
      <w:r>
        <w:t xml:space="preserve">También se necesitan mejores controles e integración de los sistemas de gestión como los sistemas GLOBO (de gestión internacional), el sistema de proyectos GLPI.</w:t>
      </w:r>
    </w:p>
    <w:p>
      <w:pPr>
        <w:numPr>
          <w:ilvl w:val="0"/>
          <w:numId w:val="1017"/>
        </w:numPr>
        <w:pStyle w:val="Compact"/>
      </w:pPr>
      <w:r>
        <w:t xml:space="preserve">Mejora de la comunicación pública a través de medios digitales</w:t>
      </w:r>
    </w:p>
    <w:p>
      <w:pPr>
        <w:numPr>
          <w:ilvl w:val="1"/>
          <w:numId w:val="1020"/>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0"/>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0"/>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0"/>
        </w:numPr>
        <w:pStyle w:val="Compact"/>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1"/>
        </w:numPr>
        <w:pStyle w:val="Compact"/>
      </w:pPr>
      <w:r>
        <w:t xml:space="preserve">Sistemas de Información y Datos:</w:t>
      </w:r>
    </w:p>
    <w:p>
      <w:pPr>
        <w:numPr>
          <w:ilvl w:val="1"/>
          <w:numId w:val="1022"/>
        </w:numPr>
        <w:pStyle w:val="Compact"/>
      </w:pPr>
      <w:r>
        <w:t xml:space="preserve">Fallas recurrentes en el funcionamiento de los sistemas de información y plataformas tecnológicas, que afectan la continuidad del servicio y generan retrasos y reprocesos.</w:t>
      </w:r>
    </w:p>
    <w:p>
      <w:pPr>
        <w:numPr>
          <w:ilvl w:val="1"/>
          <w:numId w:val="1022"/>
        </w:numPr>
        <w:pStyle w:val="Compact"/>
      </w:pPr>
      <w:r>
        <w:t xml:space="preserve">Falta de un sistema de información dedicado a la información dinámica para la toma de decisiones.</w:t>
      </w:r>
    </w:p>
    <w:p>
      <w:pPr>
        <w:numPr>
          <w:ilvl w:val="1"/>
          <w:numId w:val="1022"/>
        </w:numPr>
        <w:pStyle w:val="Compact"/>
      </w:pPr>
      <w:r>
        <w:t xml:space="preserve">Se realizan análisis descriptivos, pero no predictivos y prospectivos de los resultados de la gestión, dificultando la toma de decisiones basada en evidencia.</w:t>
      </w:r>
    </w:p>
    <w:p>
      <w:pPr>
        <w:numPr>
          <w:ilvl w:val="1"/>
          <w:numId w:val="1022"/>
        </w:numPr>
        <w:pStyle w:val="Compact"/>
      </w:pPr>
      <w:r>
        <w:t xml:space="preserve">Cambios en las plataformas tecnológicas que no interactúan con las anteriores, con impacto en pérdida de información y reprocesos.</w:t>
      </w:r>
    </w:p>
    <w:p>
      <w:pPr>
        <w:numPr>
          <w:ilvl w:val="0"/>
          <w:numId w:val="1021"/>
        </w:numPr>
        <w:pStyle w:val="Compact"/>
      </w:pPr>
      <w:r>
        <w:t xml:space="preserve">Infraestructura Tecnológica:</w:t>
      </w:r>
    </w:p>
    <w:p>
      <w:pPr>
        <w:numPr>
          <w:ilvl w:val="1"/>
          <w:numId w:val="1023"/>
        </w:numPr>
        <w:pStyle w:val="Compact"/>
      </w:pPr>
      <w:r>
        <w:t xml:space="preserve">Equipos tecnológicos obsoletos que dificultan la ejecución de las actividades.</w:t>
      </w:r>
    </w:p>
    <w:p>
      <w:pPr>
        <w:numPr>
          <w:ilvl w:val="1"/>
          <w:numId w:val="1023"/>
        </w:numPr>
        <w:pStyle w:val="Compact"/>
      </w:pPr>
      <w:r>
        <w:t xml:space="preserve">Deficiente conectividad y falta de interoperabilidad de las plataformas tecnológicas.</w:t>
      </w:r>
    </w:p>
    <w:p>
      <w:pPr>
        <w:numPr>
          <w:ilvl w:val="1"/>
          <w:numId w:val="1023"/>
        </w:numPr>
        <w:pStyle w:val="Compact"/>
      </w:pPr>
      <w:r>
        <w:t xml:space="preserve">Inestabilidad de la conectividad e indisponibilidad de servidores de información, comprometiendo la operatividad y el cumplimiento de metas.</w:t>
      </w:r>
    </w:p>
    <w:p>
      <w:pPr>
        <w:numPr>
          <w:ilvl w:val="1"/>
          <w:numId w:val="1023"/>
        </w:numPr>
        <w:pStyle w:val="Compact"/>
      </w:pPr>
      <w:r>
        <w:t xml:space="preserve">Obsolescencia tecnológica generalizada que implica la necesidad de renovación de equipos y dificulta la prestación de servicios.</w:t>
      </w:r>
    </w:p>
    <w:p>
      <w:pPr>
        <w:numPr>
          <w:ilvl w:val="1"/>
          <w:numId w:val="1023"/>
        </w:numPr>
        <w:pStyle w:val="Compact"/>
      </w:pPr>
      <w:r>
        <w:t xml:space="preserve">Los altos costos de la tecnología pueden limitar la capacidad para implementar y mantener sistemas avanzados.</w:t>
      </w:r>
    </w:p>
    <w:p>
      <w:pPr>
        <w:numPr>
          <w:ilvl w:val="0"/>
          <w:numId w:val="1021"/>
        </w:numPr>
        <w:pStyle w:val="Compact"/>
      </w:pPr>
      <w:r>
        <w:t xml:space="preserve">Seguridad Informática:</w:t>
      </w:r>
    </w:p>
    <w:p>
      <w:pPr>
        <w:numPr>
          <w:ilvl w:val="1"/>
          <w:numId w:val="1024"/>
        </w:numPr>
        <w:pStyle w:val="Compact"/>
      </w:pPr>
      <w:r>
        <w:t xml:space="preserve">Vulnerabilidad en la seguridad informática, que puede comprometer la integridad de los datos críticos y la continuidad operativa.</w:t>
      </w:r>
    </w:p>
    <w:p>
      <w:pPr>
        <w:numPr>
          <w:ilvl w:val="1"/>
          <w:numId w:val="1024"/>
        </w:numPr>
        <w:pStyle w:val="Compact"/>
      </w:pPr>
      <w:r>
        <w:t xml:space="preserve">Vulneración de la inviolabilidad de acceso a cuentas de correo institucionales y aplicativos, afectando la reserva de la información.</w:t>
      </w:r>
    </w:p>
    <w:p>
      <w:pPr>
        <w:numPr>
          <w:ilvl w:val="1"/>
          <w:numId w:val="1024"/>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1"/>
        </w:numPr>
        <w:pStyle w:val="Compact"/>
      </w:pPr>
      <w:r>
        <w:t xml:space="preserve">Gestión del Conocimiento y Capacidades Humanas:</w:t>
      </w:r>
    </w:p>
    <w:p>
      <w:pPr>
        <w:numPr>
          <w:ilvl w:val="1"/>
          <w:numId w:val="1025"/>
        </w:numPr>
        <w:pStyle w:val="Compact"/>
      </w:pPr>
      <w:r>
        <w:t xml:space="preserve">Deficiente apropiación del conocimiento en procesos de tecnologías de la información, generando demora en la solución de servicios.</w:t>
      </w:r>
    </w:p>
    <w:p>
      <w:pPr>
        <w:numPr>
          <w:ilvl w:val="1"/>
          <w:numId w:val="1025"/>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6"/>
        </w:numPr>
        <w:pStyle w:val="Compact"/>
      </w:pPr>
      <w:r>
        <w:t xml:space="preserve">Propósito y Alcance de la AE:</w:t>
      </w:r>
    </w:p>
    <w:p>
      <w:pPr>
        <w:numPr>
          <w:ilvl w:val="1"/>
          <w:numId w:val="1027"/>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7"/>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7"/>
        </w:numPr>
        <w:pStyle w:val="Compact"/>
      </w:pPr>
      <w:r>
        <w:t xml:space="preserve">La AE es una práctica estratégica que impulsa las transformaciones necesarias para fortalecer la gestión de las entidades y alcanzar sus objetivos [20].</w:t>
      </w:r>
    </w:p>
    <w:p>
      <w:pPr>
        <w:numPr>
          <w:ilvl w:val="0"/>
          <w:numId w:val="1026"/>
        </w:numPr>
        <w:pStyle w:val="Compact"/>
      </w:pPr>
      <w:r>
        <w:t xml:space="preserve">Dominios Clave que aborda la AE:</w:t>
      </w:r>
    </w:p>
    <w:p>
      <w:pPr>
        <w:numPr>
          <w:ilvl w:val="1"/>
          <w:numId w:val="1028"/>
        </w:numPr>
        <w:pStyle w:val="Compact"/>
      </w:pPr>
      <w:r>
        <w:t xml:space="preserve">Arquitectura Institucional: Modelo de capacidades, modelo operativo y catálogo de servicios institucionales [21].</w:t>
      </w:r>
    </w:p>
    <w:p>
      <w:pPr>
        <w:numPr>
          <w:ilvl w:val="1"/>
          <w:numId w:val="1028"/>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28"/>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28"/>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28"/>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29"/>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29"/>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29"/>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29"/>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29"/>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0"/>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5680448"/>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5680448"/>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Portales Institucionales y de Contenido</w:t>
            </w:r>
          </w:p>
        </w:tc>
        <w:tc>
          <w:tcPr/>
          <w:p>
            <w:pPr>
              <w:pStyle w:val="Compact"/>
              <w:jc w:val="left"/>
            </w:pPr>
            <w:r>
              <w:t xml:space="preserve">Grouping</w:t>
            </w:r>
          </w:p>
        </w:tc>
        <w:tc>
          <w:tcPr/>
          <w:p>
            <w:pPr>
              <w:pStyle w:val="Compact"/>
            </w:pP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para mostrar infografías de Bogotá. La ciudadanía provee historias cotidianas de su localidad y un grupo de análisis del Archivo de Bogotá determina la pertinencia para su publicación. Sección del Portal de Archivo de Bogotá.</w:t>
            </w: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Alcaldia Mayor de Bogota orientado a la publicación de la Gestión del alcalde, noticias de entidades y noticias de las localidades.</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del Distrito Capital para el servicio a la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vehículos</w:t>
            </w: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Bogotá Global</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Sistema Integrado de Gestión</w:t>
            </w:r>
          </w:p>
        </w:tc>
        <w:tc>
          <w:tcPr/>
          <w:p>
            <w:pPr>
              <w:pStyle w:val="Compact"/>
              <w:jc w:val="left"/>
            </w:pPr>
            <w:r>
              <w:t xml:space="preserve">Application Component</w:t>
            </w:r>
          </w:p>
        </w:tc>
        <w:tc>
          <w:tcPr/>
          <w:p>
            <w:pPr>
              <w:pStyle w:val="Compact"/>
              <w:jc w:val="left"/>
            </w:pPr>
            <w:r>
              <w:t xml:space="preserve">Sistema Integrado de Gestión de Calidad- Histórico</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Sistemas de desarrollo de software</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del Distrito Capital para el servicio a la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2025-08-16T03:18:14Z</dcterms:created>
  <dcterms:modified xsi:type="dcterms:W3CDTF">2025-08-16T03:18:14Z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