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dfed88e1982bd14c512174813fc79fcfe6afff"/>
    <w:p>
      <w:pPr>
        <w:pStyle w:val="Heading1"/>
      </w:pPr>
      <w:r>
        <w:t xml:space="preserve">Entregables Fase I de la Visión AE de SG</w:t>
      </w:r>
    </w:p>
    <w:p>
      <w:pPr>
        <w:numPr>
          <w:ilvl w:val="0"/>
          <w:numId w:val="1001"/>
        </w:numPr>
        <w:pStyle w:val="Compact"/>
      </w:pPr>
      <w:hyperlink w:anchor="documento-de-visión">
        <w:r>
          <w:rPr>
            <w:rStyle w:val="Hyperlink"/>
          </w:rPr>
          <w:t xml:space="preserve">Documento de Visión</w:t>
        </w:r>
      </w:hyperlink>
    </w:p>
    <w:p>
      <w:r>
        <w:br w:type="page"/>
      </w:r>
    </w:p>
    <w:bookmarkEnd w:id="20"/>
    <w:bookmarkStart w:id="55" w:name="sec:documento-de-visión"/>
    <w:p>
      <w:pPr>
        <w:pStyle w:val="Heading1"/>
      </w:pPr>
      <w:r>
        <w:t xml:space="preserve">Documento de Visión</w:t>
      </w:r>
    </w:p>
    <w:bookmarkStart w:id="40" w:name="Xa9d104a7f08cf13eef6b7fb8d61d81ecde9c1ff"/>
    <w:p>
      <w:pPr>
        <w:pStyle w:val="Heading2"/>
      </w:pPr>
      <w:r>
        <w:t xml:space="preserve">Visión del Dominio de Sistemas de Información</w:t>
      </w:r>
    </w:p>
    <w:p>
      <w:pPr>
        <w:pStyle w:val="FirstParagraph"/>
      </w:pPr>
    </w:p>
    <w:p>
      <w:pPr>
        <w:pStyle w:val="BodyText"/>
      </w:pPr>
      <w:r>
        <w:t xml:space="preserve">La Fase Tres (3) de la arquitectura empresarial (AE) de SG se divide en dos partes principales: Arquitectura de Datos y Arquitectura de Aplicaciones.</w:t>
      </w:r>
    </w:p>
    <w:bookmarkStart w:id="21"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La Arquitectura de Aplicaciones no opera de forma aislada; está intrínsecamente conectada con las fases anteriores y posteriores de la arquitectura empresarial de Secretaria General Alcaldía Mayor de Bogotá:</w:t>
      </w:r>
    </w:p>
    <w:p>
      <w:pPr>
        <w:numPr>
          <w:ilvl w:val="0"/>
          <w:numId w:val="1003"/>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03"/>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03"/>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03"/>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03"/>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22"/>
    <w:bookmarkStart w:id="2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04"/>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04"/>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04"/>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04"/>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04"/>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04"/>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04"/>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p>
      <w:pPr>
        <w:pStyle w:val="CaptionedFigure"/>
      </w:pPr>
      <w:r>
        <w:drawing>
          <wp:inline>
            <wp:extent cx="5943600" cy="6261100"/>
            <wp:effectExtent b="0" l="0" r="0" t="0"/>
            <wp:docPr descr="06.3n. Vision SI. Fuente: Proyecto arquitectura empresarial. Arquitectura de Aplicaciones Secretaria General Alcaldía Mayor de Bogotá (2025)" title="" id="24" name="Picture"/>
            <a:graphic>
              <a:graphicData uri="http://schemas.openxmlformats.org/drawingml/2006/picture">
                <pic:pic>
                  <pic:nvPicPr>
                    <pic:cNvPr descr="images/06.3n.VisionSI.png" id="25" name="Picture"/>
                    <pic:cNvPicPr>
                      <a:picLocks noChangeArrowheads="1" noChangeAspect="1"/>
                    </pic:cNvPicPr>
                  </pic:nvPicPr>
                  <pic:blipFill>
                    <a:blip r:embed="rId23"/>
                    <a:stretch>
                      <a:fillRect/>
                    </a:stretch>
                  </pic:blipFill>
                  <pic:spPr bwMode="auto">
                    <a:xfrm>
                      <a:off x="0" y="0"/>
                      <a:ext cx="5943600" cy="6261100"/>
                    </a:xfrm>
                    <a:prstGeom prst="rect">
                      <a:avLst/>
                    </a:prstGeom>
                    <a:noFill/>
                    <a:ln w="9525">
                      <a:noFill/>
                      <a:headEnd/>
                      <a:tailEnd/>
                    </a:ln>
                  </pic:spPr>
                </pic:pic>
              </a:graphicData>
            </a:graphic>
          </wp:inline>
        </w:drawing>
      </w:r>
    </w:p>
    <w:p>
      <w:pPr>
        <w:pStyle w:val="ImageCaption"/>
      </w:pPr>
      <w:r>
        <w:t xml:space="preserve">Figura 1: 06.3n. Vision SI.</w:t>
      </w:r>
      <w:r>
        <w:t xml:space="preserve"> </w:t>
      </w:r>
      <w:r>
        <w:rPr>
          <w:iCs/>
          <w:i/>
        </w:rPr>
        <w:t xml:space="preserve">Fuente: Proyecto arquitectura empresarial. Arquitectura de Aplicaciones Secretaria General Alcaldía Mayor de Bogotá (2025)</w:t>
      </w:r>
    </w:p>
    <w:bookmarkEnd w:id="26"/>
    <w:bookmarkStart w:id="28"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7"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7"/>
    <w:bookmarkEnd w:id="28"/>
    <w:bookmarkStart w:id="29" w:name="sec:vistas-y-artefactos-del-dominio"/>
    <w:p>
      <w:pPr>
        <w:pStyle w:val="Heading3"/>
      </w:pPr>
      <w:r>
        <w:t xml:space="preserve">Vistas y Artefactos del Dominio</w:t>
      </w:r>
    </w:p>
    <w:p>
      <w:pPr>
        <w:pStyle w:val="FirstParagraph"/>
      </w:pPr>
      <w:r>
        <w:t xml:space="preserve">A continuación, presentamos las vistas y artefactos del dominio de sistemas de información consignados en el alcance del proyecto.</w:t>
      </w:r>
    </w:p>
    <w:bookmarkEnd w:id="29"/>
    <w:bookmarkStart w:id="30"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0"/>
    <w:bookmarkStart w:id="32"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1"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Catálogo de aplicaciones de SG procura beneficios estratégicos y operativos:</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31"/>
    <w:bookmarkEnd w:id="32"/>
    <w:bookmarkStart w:id="35"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3"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Pr>
      <w:r>
        <w:t xml:space="preserve">Impulsar la transformación digital para alinear estrategias, procesos y tecnologías, que resulte en el aumento de eficiencia de la gestión pública.</w:t>
      </w:r>
    </w:p>
    <w:p>
      <w:pPr>
        <w:numPr>
          <w:ilvl w:val="0"/>
          <w:numId w:val="1016"/>
        </w:numPr>
      </w:pPr>
      <w:r>
        <w:t xml:space="preserve">Cerrar las brechas en la Política de Gobierno Digital, de la cual la Arquitectura Empresarial es un habilitador clave.</w:t>
      </w:r>
    </w:p>
    <w:p>
      <w:pPr>
        <w:numPr>
          <w:ilvl w:val="0"/>
          <w:numId w:val="1016"/>
        </w:numPr>
      </w:pPr>
      <w:r>
        <w:t xml:space="preserve">Modernizar la infraestructura tecnológica que resulte del análisis de obsolescencia para asegurar su continuidad y disponibilidad.</w:t>
      </w:r>
    </w:p>
    <w:p>
      <w:pPr>
        <w:numPr>
          <w:ilvl w:val="0"/>
          <w:numId w:val="1016"/>
        </w:numPr>
      </w:pPr>
      <w:r>
        <w:t xml:space="preserve">Integrar plataformas y ecosistemas digitales y superar la falta de interoperabilidad.</w:t>
      </w:r>
    </w:p>
    <w:p>
      <w:pPr>
        <w:numPr>
          <w:ilvl w:val="0"/>
          <w:numId w:val="1016"/>
        </w:numPr>
      </w:pPr>
      <w:r>
        <w:t xml:space="preserve">Aumentar la automatización de los trámites digitales.</w:t>
      </w:r>
    </w:p>
    <w:p>
      <w:pPr>
        <w:numPr>
          <w:ilvl w:val="0"/>
          <w:numId w:val="1016"/>
        </w:numPr>
      </w:pPr>
      <w:r>
        <w:t xml:space="preserve">Estandarizar la gestión y gobernanza de datos públicos.</w:t>
      </w:r>
    </w:p>
    <w:p>
      <w:pPr>
        <w:numPr>
          <w:ilvl w:val="0"/>
          <w:numId w:val="1016"/>
        </w:numPr>
      </w:pPr>
      <w:r>
        <w:t xml:space="preserve">Mejorar el soporte que los SI dan a la toma de decisiones basada en evidencia.</w:t>
      </w:r>
    </w:p>
    <w:p>
      <w:pPr>
        <w:numPr>
          <w:ilvl w:val="0"/>
          <w:numId w:val="1016"/>
        </w:numPr>
      </w:pPr>
      <w:r>
        <w:t xml:space="preserve">Generar análisis predictivos y prospectivos de resultados de gestión, que son insumos para la toma de decisiones.</w:t>
      </w:r>
    </w:p>
    <w:p>
      <w:pPr>
        <w:numPr>
          <w:ilvl w:val="0"/>
          <w:numId w:val="1016"/>
        </w:numPr>
      </w:pPr>
      <w:r>
        <w:t xml:space="preserve">Contar con disponibilidad de personal adecuado para actualizar plataformas tecnológicas y gestionar las cargas de trabajo.</w:t>
      </w:r>
    </w:p>
    <w:p>
      <w:pPr>
        <w:numPr>
          <w:ilvl w:val="0"/>
          <w:numId w:val="1016"/>
        </w:numPr>
      </w:pPr>
      <w:r>
        <w:t xml:space="preserve">Aprovechar nuevas tecnologías como la Inteligencia Artificial, la minería de datos, el procesamiento del lenguaje, para mejorar los procesos y la relación con la ciudadanía.</w:t>
      </w:r>
    </w:p>
    <w:p>
      <w:pPr>
        <w:numPr>
          <w:ilvl w:val="0"/>
          <w:numId w:val="1016"/>
        </w:numPr>
      </w:pPr>
      <w:r>
        <w:t xml:space="preserve">Abordar los altos costos de la tecnología que limitan la implementación de sistemas avanzados.</w:t>
      </w:r>
    </w:p>
    <w:p>
      <w:pPr>
        <w:numPr>
          <w:ilvl w:val="0"/>
          <w:numId w:val="1016"/>
        </w:numPr>
      </w:pPr>
      <w:r>
        <w:t xml:space="preserve">Fortalecer la ciberseguridad y seguridad de la información para proteger la integridad, disponibilidad y confidencialidad de los datos y prevenir ataques.</w:t>
      </w:r>
    </w:p>
    <w:bookmarkEnd w:id="33"/>
    <w:bookmarkStart w:id="34"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4"/>
    <w:bookmarkEnd w:id="35"/>
    <w:bookmarkStart w:id="36"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6"/>
    <w:bookmarkStart w:id="37"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9"/>
        </w:numPr>
      </w:pPr>
      <w:r>
        <w:t xml:space="preserve">capacitación en nuevas tecnologías y</w:t>
      </w:r>
    </w:p>
    <w:p>
      <w:pPr>
        <w:numPr>
          <w:ilvl w:val="0"/>
          <w:numId w:val="1019"/>
        </w:numPr>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7"/>
    <w:bookmarkStart w:id="38"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 [7].</w:t>
      </w:r>
    </w:p>
    <w:p>
      <w:pPr>
        <w:numPr>
          <w:ilvl w:val="1"/>
          <w:numId w:val="1025"/>
        </w:numPr>
        <w:pStyle w:val="Compact"/>
      </w:pPr>
      <w:r>
        <w:t xml:space="preserve">Falta de un software que permita extraer información dinámica para la toma de decisiones [9].</w:t>
      </w:r>
    </w:p>
    <w:p>
      <w:pPr>
        <w:numPr>
          <w:ilvl w:val="1"/>
          <w:numId w:val="1025"/>
        </w:numPr>
        <w:pStyle w:val="Compact"/>
      </w:pPr>
      <w:r>
        <w:t xml:space="preserve">Se realizan análisis descriptivos, pero no predictivos y prospectivos de los resultados de la gestión, dificultando la toma de decisiones basada en evidencia [10].</w:t>
      </w:r>
    </w:p>
    <w:p>
      <w:pPr>
        <w:numPr>
          <w:ilvl w:val="1"/>
          <w:numId w:val="1025"/>
        </w:numPr>
        <w:pStyle w:val="Compact"/>
      </w:pPr>
      <w:r>
        <w:t xml:space="preserve">Cambios en las plataformas tecnológicas que no interactúan con las anteriores, generando posibles pérdidas de información y reprocesos [11].</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 [12].</w:t>
      </w:r>
    </w:p>
    <w:p>
      <w:pPr>
        <w:numPr>
          <w:ilvl w:val="1"/>
          <w:numId w:val="1026"/>
        </w:numPr>
        <w:pStyle w:val="Compact"/>
      </w:pPr>
      <w:r>
        <w:t xml:space="preserve">Deficiente conectividad y falta de interoperabilidad de las plataformas tecnológicas [13].</w:t>
      </w:r>
    </w:p>
    <w:p>
      <w:pPr>
        <w:numPr>
          <w:ilvl w:val="1"/>
          <w:numId w:val="1026"/>
        </w:numPr>
        <w:pStyle w:val="Compact"/>
      </w:pPr>
      <w:r>
        <w:t xml:space="preserve">Inestabilidad de la conectividad e indisponibilidad de servidores de información, comprometiendo la operatividad y el cumplimiento de metas [14].</w:t>
      </w:r>
    </w:p>
    <w:p>
      <w:pPr>
        <w:numPr>
          <w:ilvl w:val="1"/>
          <w:numId w:val="1026"/>
        </w:numPr>
        <w:pStyle w:val="Compact"/>
      </w:pPr>
      <w:r>
        <w:t xml:space="preserve">Obsolescencia tecnológica generalizada que implica la necesidad de renovación de equipos y dificulta la prestación de servicios [15].</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 [14].</w:t>
      </w:r>
    </w:p>
    <w:p>
      <w:pPr>
        <w:numPr>
          <w:ilvl w:val="1"/>
          <w:numId w:val="1027"/>
        </w:numPr>
        <w:pStyle w:val="Compact"/>
      </w:pPr>
      <w:r>
        <w:t xml:space="preserve">Vulneración de la inviolabilidad de acceso a cuentas de correo institucionales y aplicativos, afectando la reserva de la información [14].</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 [17].</w:t>
      </w:r>
    </w:p>
    <w:p>
      <w:pPr>
        <w:numPr>
          <w:ilvl w:val="1"/>
          <w:numId w:val="1028"/>
        </w:numPr>
        <w:pStyle w:val="Compact"/>
      </w:pPr>
      <w:r>
        <w:t xml:space="preserve">Falta de personal para actualizar las plataformas tecnológicas, lo que genera retrasos en la operación.</w:t>
      </w:r>
    </w:p>
    <w:bookmarkEnd w:id="38"/>
    <w:bookmarkStart w:id="39"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9"/>
    <w:bookmarkEnd w:id="40"/>
    <w:bookmarkStart w:id="48"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41"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1"/>
    <w:bookmarkStart w:id="45"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3" name="Picture"/>
            <a:graphic>
              <a:graphicData uri="http://schemas.openxmlformats.org/drawingml/2006/picture">
                <pic:pic>
                  <pic:nvPicPr>
                    <pic:cNvPr descr="images/06.2n2.1a.SIdelAnalisisdeEntorno.png" id="44" name="Picture"/>
                    <pic:cNvPicPr>
                      <a:picLocks noChangeArrowheads="1" noChangeAspect="1"/>
                    </pic:cNvPicPr>
                  </pic:nvPicPr>
                  <pic:blipFill>
                    <a:blip r:embed="rId42"/>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2: 06.2n2.1a. SI del Analisis de Entorno.</w:t>
      </w:r>
      <w:r>
        <w:t xml:space="preserve"> </w:t>
      </w:r>
      <w:r>
        <w:rPr>
          <w:iCs/>
          <w:i/>
        </w:rPr>
        <w:t xml:space="preserve">Fuente: Proyecto arquitectura empresarial. Arquitectura de Aplicaciones Secretaria General Alcaldía Mayor de Bogotá (2025)</w:t>
      </w:r>
    </w:p>
    <w:bookmarkEnd w:id="45"/>
    <w:bookmarkStart w:id="47" w:name="sec:elementos-del-modelo"/>
    <w:p>
      <w:pPr>
        <w:pStyle w:val="Heading3"/>
      </w:pPr>
      <w:r>
        <w:t xml:space="preserve">Elementos del Modelo</w:t>
      </w:r>
    </w:p>
    <w:bookmarkStart w:id="46"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6"/>
    <w:p>
      <w:pPr>
        <w:pStyle w:val="BodyText"/>
      </w:pPr>
    </w:p>
    <w:bookmarkEnd w:id="47"/>
    <w:bookmarkEnd w:id="48"/>
    <w:bookmarkStart w:id="54"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50" name="Picture"/>
            <a:graphic>
              <a:graphicData uri="http://schemas.openxmlformats.org/drawingml/2006/picture">
                <pic:pic>
                  <pic:nvPicPr>
                    <pic:cNvPr descr="images/06.2n3.a.AplicacionesyProcesos.png" id="51" name="Picture"/>
                    <pic:cNvPicPr>
                      <a:picLocks noChangeArrowheads="1" noChangeAspect="1"/>
                    </pic:cNvPicPr>
                  </pic:nvPicPr>
                  <pic:blipFill>
                    <a:blip r:embed="rId49"/>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3: 06.2n3.a. Aplicaciones y Procesos.</w:t>
      </w:r>
      <w:r>
        <w:t xml:space="preserve"> </w:t>
      </w:r>
      <w:r>
        <w:rPr>
          <w:iCs/>
          <w:i/>
        </w:rPr>
        <w:t xml:space="preserve">Fuente: Proyecto arquitectura empresarial. Arquitectura de Aplicaciones Secretaria General Alcaldía Mayor de Bogotá (2025)</w:t>
      </w:r>
    </w:p>
    <w:bookmarkStart w:id="53" w:name="sec:elementos-del-modelo-1"/>
    <w:p>
      <w:pPr>
        <w:pStyle w:val="Heading3"/>
      </w:pPr>
      <w:r>
        <w:t xml:space="preserve">Elementos del Modelo</w:t>
      </w:r>
    </w:p>
    <w:bookmarkStart w:id="52"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2"/>
    <w:p>
      <w:pPr>
        <w:pStyle w:val="BodyText"/>
      </w:pPr>
    </w:p>
    <w:bookmarkEnd w:id="53"/>
    <w:bookmarkEnd w:id="54"/>
    <w:bookmarkEnd w:id="5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2025-08-13T16:58:49Z</dcterms:created>
  <dcterms:modified xsi:type="dcterms:W3CDTF">2025-08-13T16:58:49Z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