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4a5bd29f25a9f03bdacd082c44fdf0e53f62e93">
        <w:r>
          <w:rPr>
            <w:rStyle w:val="Hyperlink"/>
          </w:rPr>
          <w:t xml:space="preserve">Visión del Dominio de Sistmas de Información SG</w:t>
        </w:r>
      </w:hyperlink>
    </w:p>
    <w:p>
      <w:r>
        <w:br w:type="page"/>
      </w:r>
    </w:p>
    <w:bookmarkEnd w:id="20"/>
    <w:bookmarkStart w:id="55" w:name="X092c45d87593331b1cb3ac905bc4818b8ed13e6"/>
    <w:p>
      <w:pPr>
        <w:pStyle w:val="Heading1"/>
      </w:pPr>
      <w:r>
        <w:t xml:space="preserve">Visión del Dominio de Sistmas de Información SG</w:t>
      </w:r>
    </w:p>
    <w:bookmarkStart w:id="40" w:name="Xa9d104a7f08cf13eef6b7fb8d61d81ecde9c1ff"/>
    <w:p>
      <w:pPr>
        <w:pStyle w:val="Heading2"/>
      </w:pPr>
      <w:r>
        <w:t xml:space="preserve">Visión del Dominio de Sistemas de Información</w:t>
      </w:r>
    </w:p>
    <w:p>
      <w:pPr>
        <w:pStyle w:val="FirstParagraph"/>
      </w:pPr>
    </w:p>
    <w:p>
      <w:pPr>
        <w:pStyle w:val="BodyText"/>
      </w:pPr>
      <w:r>
        <w:t xml:space="preserve">La Fase Tres III (tres) del proyecto de arquitectura empresarial (AE) de Secretaria General Alcaldía Mayor de Bogotá (SG) contiene y desarrolla el dominio de los sistemas de información de SG y arquitectura de aplicaciones.</w:t>
      </w:r>
    </w:p>
    <w:p>
      <w:pPr>
        <w:pStyle w:val="BodyText"/>
      </w:pPr>
      <w:r>
        <w:t xml:space="preserve">El dominio de sistemas de infomración y arquitectura de aplicaciones es un pilar estructural del proyecto de arquitectura empresarial de Secretaria General Alcaldía Mayor de Bogotá, y aporta a su transformación empresarial. En este dominio tratamos con necesidades de negocio para indentificar brechas y soluciones tangibles de aplicaciones de software y preparar el terreno para la selección de la tecnología subyacente.</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Secretaria General Alcaldía Mayor de Bogotá y que implementen la visión de la arquitectura empresarial, objeto de este proyecto.</w:t>
      </w:r>
    </w:p>
    <w:p>
      <w:pPr>
        <w:pStyle w:val="BodyText"/>
      </w:pPr>
      <w:r>
        <w:t xml:space="preserve">En términos más específicos, la arquitectura de aplicaciones busca:</w:t>
      </w:r>
    </w:p>
    <w:p>
      <w:pPr>
        <w:numPr>
          <w:ilvl w:val="0"/>
          <w:numId w:val="1002"/>
        </w:numPr>
        <w:pStyle w:val="Compact"/>
      </w:pPr>
      <w:r>
        <w:t xml:space="preserve">Definir la arquitectura de las aplicaciones (software) necesarias para soportar los procesos de negocio.</w:t>
      </w:r>
    </w:p>
    <w:p>
      <w:pPr>
        <w:numPr>
          <w:ilvl w:val="0"/>
          <w:numId w:val="1002"/>
        </w:numPr>
        <w:pStyle w:val="Compact"/>
      </w:pPr>
      <w:r>
        <w:t xml:space="preserve">Identificar las funciones de negocio que deben ser soportadas por las aplicaciones.</w:t>
      </w:r>
    </w:p>
    <w:p>
      <w:pPr>
        <w:numPr>
          <w:ilvl w:val="0"/>
          <w:numId w:val="1002"/>
        </w:numPr>
        <w:pStyle w:val="Compact"/>
      </w:pPr>
      <w:r>
        <w:t xml:space="preserve">Establecer la interacción y el flujo de información entre las diferentes aplicaciones.</w:t>
      </w:r>
    </w:p>
    <w:p>
      <w:pPr>
        <w:numPr>
          <w:ilvl w:val="0"/>
          <w:numId w:val="1002"/>
        </w:numPr>
        <w:pStyle w:val="Compact"/>
      </w:pPr>
      <w:r>
        <w:t xml:space="preserve">Considerar aspectos como la escalabilidad, el rendimiento, la mantenibilidad y la seguridad de las aplicaciones.</w:t>
      </w:r>
    </w:p>
    <w:p>
      <w:pPr>
        <w:numPr>
          <w:ilvl w:val="0"/>
          <w:numId w:val="1002"/>
        </w:numPr>
        <w:pStyle w:val="Compact"/>
      </w:pPr>
      <w:r>
        <w:t xml:space="preserve">Listar los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Secretaria General Alcaldía Mayor de Bogotá opera en conjunto y coordinación con otros dominios y fases de la arquitectura empresarial de SG, de la siguiente manera:</w:t>
      </w:r>
    </w:p>
    <w:p>
      <w:pPr>
        <w:numPr>
          <w:ilvl w:val="0"/>
          <w:numId w:val="1003"/>
        </w:numPr>
        <w:pStyle w:val="Compact"/>
      </w:pPr>
      <w:r>
        <w:t xml:space="preserve">Relación con la Visión de la Arquitectura: Los sistemas de información toman como entrada principal la visión de este ejericcio de arquitectura, que establece el alcance, los objetivos de alto nivel, los principios de la arquitectura y la visión del negocio con el propópsitode alinearse y contribuir a la consecución de esta visión.</w:t>
      </w:r>
    </w:p>
    <w:p>
      <w:pPr>
        <w:numPr>
          <w:ilvl w:val="0"/>
          <w:numId w:val="1003"/>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3"/>
        </w:numPr>
        <w:pStyle w:val="Compact"/>
      </w:pPr>
      <w:r>
        <w:t xml:space="preserve">Relación con la Arquitectura Tecnológica: Este dominio proporciona bases y requisitos para el domio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3"/>
        </w:numPr>
        <w:pStyle w:val="Compact"/>
      </w:pPr>
      <w:r>
        <w:t xml:space="preserve">Relación con Oportunidades y Soluciones y Hojas de Ruta: Las arquitecturas aplicaciones desarrolladas en este dominio son insumos para identificar oportunidades de implementación en Secretaria General Alcaldía Mayor de Bogotá, y para desarrollar la hoja de rutade las arquitecturas actuales a las arquitecturas objetivo.</w:t>
      </w:r>
    </w:p>
    <w:bookmarkEnd w:id="22"/>
    <w:bookmarkStart w:id="26"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Secretaria General Alcaldía Mayor de Bogotá.</w:t>
      </w:r>
    </w:p>
    <w:p>
      <w:pPr>
        <w:numPr>
          <w:ilvl w:val="0"/>
          <w:numId w:val="1004"/>
        </w:numPr>
        <w:pStyle w:val="Compact"/>
      </w:pPr>
      <w:r>
        <w:t xml:space="preserve">Principios de Arquitectura de Sistemas de Información de Secretaria General Alcaldía Mayor de Bogotá: Principios específicos de SG que guiarán el diseño de los datos y las aplicaciones, cone l fin de asegurar la coherencia y la alineación con los objetivos empresariales.</w:t>
      </w:r>
    </w:p>
    <w:p>
      <w:pPr>
        <w:numPr>
          <w:ilvl w:val="0"/>
          <w:numId w:val="1004"/>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4"/>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4"/>
        </w:numPr>
        <w:pStyle w:val="Compact"/>
      </w:pPr>
      <w:r>
        <w:t xml:space="preserve">Arquitectura de Negocio Actual (línea base) y Objetivo: Los modelos de Arquitectura de Negocio actual y deseada, que servirán como punto de partida y destino para la Arquitectura de Sistemas de Información.</w:t>
      </w:r>
    </w:p>
    <w:p>
      <w:pPr>
        <w:pStyle w:val="CaptionedFigure"/>
      </w:pPr>
      <w:r>
        <w:drawing>
          <wp:inline>
            <wp:extent cx="5943600" cy="6261100"/>
            <wp:effectExtent b="0" l="0" r="0" t="0"/>
            <wp:docPr descr="06.3n. Vision SI. Fuente: Proyecto arquitectura empresarial. Arquitectura de Aplicaciones Secretaria General Alcaldía Mayor de Bogotá (2025)" title="" id="24" name="Picture"/>
            <a:graphic>
              <a:graphicData uri="http://schemas.openxmlformats.org/drawingml/2006/picture">
                <pic:pic>
                  <pic:nvPicPr>
                    <pic:cNvPr descr="images/06.3n.VisionSI.png" id="25" name="Picture"/>
                    <pic:cNvPicPr>
                      <a:picLocks noChangeArrowheads="1" noChangeAspect="1"/>
                    </pic:cNvPicPr>
                  </pic:nvPicPr>
                  <pic:blipFill>
                    <a:blip r:embed="rId23"/>
                    <a:stretch>
                      <a:fillRect/>
                    </a:stretch>
                  </pic:blipFill>
                  <pic:spPr bwMode="auto">
                    <a:xfrm>
                      <a:off x="0" y="0"/>
                      <a:ext cx="5943600" cy="6261100"/>
                    </a:xfrm>
                    <a:prstGeom prst="rect">
                      <a:avLst/>
                    </a:prstGeom>
                    <a:noFill/>
                    <a:ln w="9525">
                      <a:noFill/>
                      <a:headEnd/>
                      <a:tailEnd/>
                    </a:ln>
                  </pic:spPr>
                </pic:pic>
              </a:graphicData>
            </a:graphic>
          </wp:inline>
        </w:drawing>
      </w:r>
    </w:p>
    <w:p>
      <w:pPr>
        <w:pStyle w:val="ImageCaption"/>
      </w:pPr>
      <w:r>
        <w:t xml:space="preserve">Figura 1: 06.3n. Vision SI.</w:t>
      </w:r>
      <w:r>
        <w:t xml:space="preserve"> </w:t>
      </w:r>
      <w:r>
        <w:rPr>
          <w:iCs/>
          <w:i/>
        </w:rPr>
        <w:t xml:space="preserve">Fuente: Proyecto arquitectura empresarial. Arquitectura de Aplicaciones Secretaria General Alcaldía Mayor de Bogotá (2025)</w:t>
      </w:r>
    </w:p>
    <w:bookmarkEnd w:id="26"/>
    <w:bookmarkStart w:id="28"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General Alcaldía Mayor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5"/>
        </w:numPr>
        <w:pStyle w:val="Compact"/>
      </w:pPr>
      <w:r>
        <w:t xml:space="preserve">Definir la arquitectura de las aplicaciones (SI) necesarias para soportar los procesos de negocio de SG.</w:t>
      </w:r>
    </w:p>
    <w:p>
      <w:pPr>
        <w:numPr>
          <w:ilvl w:val="0"/>
          <w:numId w:val="1005"/>
        </w:numPr>
        <w:pStyle w:val="Compact"/>
      </w:pPr>
      <w:r>
        <w:t xml:space="preserve">Identificar las funciones de negocio que deben ser soportadas por las aplicaciones de SG.</w:t>
      </w:r>
    </w:p>
    <w:p>
      <w:pPr>
        <w:numPr>
          <w:ilvl w:val="0"/>
          <w:numId w:val="1005"/>
        </w:numPr>
        <w:pStyle w:val="Compact"/>
      </w:pPr>
      <w:r>
        <w:t xml:space="preserve">Establecer la interacción y el flujo de información entre las diferentes aplicaciones de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7"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Subsecreataría de Servicios Ciudadanos (…)</w:t>
      </w:r>
    </w:p>
    <w:p>
      <w:pPr>
        <w:numPr>
          <w:ilvl w:val="1"/>
          <w:numId w:val="1008"/>
        </w:numPr>
        <w:pStyle w:val="Compact"/>
      </w:pPr>
      <w:r>
        <w:t xml:space="preserve">Subsecreataría de Inversión y FF (…)</w:t>
      </w:r>
    </w:p>
    <w:p>
      <w:pPr>
        <w:numPr>
          <w:ilvl w:val="1"/>
          <w:numId w:val="1008"/>
        </w:numPr>
        <w:pStyle w:val="Compact"/>
      </w:pPr>
      <w:r>
        <w:t xml:space="preserve">Subsecreataría de Operaciones</w:t>
      </w:r>
    </w:p>
    <w:p>
      <w:pPr>
        <w:numPr>
          <w:ilvl w:val="1"/>
          <w:numId w:val="1008"/>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bookmarkEnd w:id="27"/>
    <w:bookmarkEnd w:id="28"/>
    <w:bookmarkStart w:id="29" w:name="sec:vistas-y-artefactos-del-dominio"/>
    <w:p>
      <w:pPr>
        <w:pStyle w:val="Heading3"/>
      </w:pPr>
      <w:r>
        <w:t xml:space="preserve">Vistas y Artefactos del Dominio</w:t>
      </w:r>
    </w:p>
    <w:p>
      <w:pPr>
        <w:pStyle w:val="FirstParagraph"/>
      </w:pPr>
      <w:r>
        <w:t xml:space="preserve">A continuación, presentamos las vistas y artefactos del dominio de sistemas de información consignados en el alcance del proyecto.</w:t>
      </w:r>
    </w:p>
    <w:bookmarkEnd w:id="29"/>
    <w:bookmarkStart w:id="30"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Secretaria General Alcaldía Mayor de Bogotá.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0"/>
    <w:bookmarkStart w:id="32"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Secretaria General Alcaldía Mayor de Bogotá.</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construímos a partir de las sesiones de levantamiento, entrevistas, y cuestionarios compartidos en el mes de julio, junto con la recopilación estructurada de las fuentes de información sobre cada sistema.</w:t>
      </w:r>
    </w:p>
    <w:bookmarkStart w:id="31"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31"/>
    <w:bookmarkEnd w:id="32"/>
    <w:bookmarkStart w:id="35"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3"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6"/>
        </w:numPr>
      </w:pPr>
      <w:r>
        <w:t xml:space="preserve">Impulsar la transformación digital para alinear estrategias, procesos y tecnologías, que resulte en el aumento de eficiencia de la gestión pública.</w:t>
      </w:r>
    </w:p>
    <w:p>
      <w:pPr>
        <w:numPr>
          <w:ilvl w:val="0"/>
          <w:numId w:val="1016"/>
        </w:numPr>
      </w:pPr>
      <w:r>
        <w:t xml:space="preserve">Cerrar las brechas en la Política de Gobierno Digital, de la cual la Arquitectura Empresarial es un habilitador clave.</w:t>
      </w:r>
    </w:p>
    <w:p>
      <w:pPr>
        <w:numPr>
          <w:ilvl w:val="0"/>
          <w:numId w:val="1016"/>
        </w:numPr>
      </w:pPr>
      <w:r>
        <w:t xml:space="preserve">Modernizar la infraestructura tecnológica que resulte del análisis de obsolescencia para asegurar su continuidad y disponibilidad.</w:t>
      </w:r>
    </w:p>
    <w:p>
      <w:pPr>
        <w:numPr>
          <w:ilvl w:val="0"/>
          <w:numId w:val="1016"/>
        </w:numPr>
      </w:pPr>
      <w:r>
        <w:t xml:space="preserve">Integrar plataformas y ecosistemas digitales y superar la falta de interoperabilidad.</w:t>
      </w:r>
    </w:p>
    <w:p>
      <w:pPr>
        <w:numPr>
          <w:ilvl w:val="0"/>
          <w:numId w:val="1016"/>
        </w:numPr>
      </w:pPr>
      <w:r>
        <w:t xml:space="preserve">Aumentar la automatización de los trámites digitales.</w:t>
      </w:r>
    </w:p>
    <w:p>
      <w:pPr>
        <w:numPr>
          <w:ilvl w:val="0"/>
          <w:numId w:val="1016"/>
        </w:numPr>
      </w:pPr>
      <w:r>
        <w:t xml:space="preserve">Estandarizar la gestión y gobernanza de datos públicos.</w:t>
      </w:r>
    </w:p>
    <w:p>
      <w:pPr>
        <w:numPr>
          <w:ilvl w:val="0"/>
          <w:numId w:val="1016"/>
        </w:numPr>
      </w:pPr>
      <w:r>
        <w:t xml:space="preserve">Mejorar el soporte que los SI dan a la toma de decisiones basada en evidencia.</w:t>
      </w:r>
    </w:p>
    <w:p>
      <w:pPr>
        <w:numPr>
          <w:ilvl w:val="0"/>
          <w:numId w:val="1016"/>
        </w:numPr>
      </w:pPr>
      <w:r>
        <w:t xml:space="preserve">Generar análisis predictivos y prospectivos de resultados de gestión, que son insumos para la toma de decisiones.</w:t>
      </w:r>
    </w:p>
    <w:p>
      <w:pPr>
        <w:numPr>
          <w:ilvl w:val="0"/>
          <w:numId w:val="1016"/>
        </w:numPr>
      </w:pPr>
      <w:r>
        <w:t xml:space="preserve">Contar con disponibilidad de personal adecuado para actualizar plataformas tecnológicas y gestionar las cargas de trabajo.</w:t>
      </w:r>
    </w:p>
    <w:p>
      <w:pPr>
        <w:numPr>
          <w:ilvl w:val="0"/>
          <w:numId w:val="1016"/>
        </w:numPr>
      </w:pPr>
      <w:r>
        <w:t xml:space="preserve">Aprovechar nuevas tecnologías como la Inteligencia Artificial, la minería de datos, el procesamiento del lenguaje, para mejorar los procesos y la relación con la ciudadanía.</w:t>
      </w:r>
    </w:p>
    <w:p>
      <w:pPr>
        <w:numPr>
          <w:ilvl w:val="0"/>
          <w:numId w:val="1016"/>
        </w:numPr>
      </w:pPr>
      <w:r>
        <w:t xml:space="preserve">Abordar los altos costos de la tecnología que limitan la implementación de sistemas avanzados.</w:t>
      </w:r>
    </w:p>
    <w:p>
      <w:pPr>
        <w:numPr>
          <w:ilvl w:val="0"/>
          <w:numId w:val="1016"/>
        </w:numPr>
      </w:pPr>
      <w:r>
        <w:t xml:space="preserve">Fortalecer la ciberseguridad y seguridad de la información para proteger la integridad, disponibilidad y confidencialidad de los datos y prevenir ataques.</w:t>
      </w:r>
    </w:p>
    <w:bookmarkEnd w:id="33"/>
    <w:bookmarkStart w:id="34"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7"/>
        </w:numPr>
        <w:pStyle w:val="Compact"/>
      </w:pPr>
      <w:r>
        <w:t xml:space="preserve">Adquirir software especializado en análisis de datos: implica la necesidad de incorporar de nuevos componentes de aplicación (Application Component).</w:t>
      </w:r>
    </w:p>
    <w:p>
      <w:pPr>
        <w:numPr>
          <w:ilvl w:val="0"/>
          <w:numId w:val="1017"/>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7"/>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4"/>
    <w:bookmarkEnd w:id="35"/>
    <w:bookmarkStart w:id="36"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8"/>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en proceso de mitigar la obsolescencia, que generan dificultad en la ejecución de las actividades que desarrolla la entidad.</w:t>
      </w:r>
    </w:p>
    <w:p>
      <w:pPr>
        <w:numPr>
          <w:ilvl w:val="0"/>
          <w:numId w:val="1018"/>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de la entidad que pueden obstaculizar el avance de los iniciativas en marcha de la SG.</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8"/>
        </w:numPr>
        <w:pStyle w:val="Compact"/>
      </w:pPr>
      <w:r>
        <w:t xml:space="preserve">Potencial y rápida obsolescencia tecnológica que implica la necesidad de renovación de los equipos y dificulta la prestación de los servicios de la entidad.</w:t>
      </w:r>
    </w:p>
    <w:p>
      <w:pPr>
        <w:numPr>
          <w:ilvl w:val="0"/>
          <w:numId w:val="1018"/>
        </w:numPr>
        <w:pStyle w:val="Compact"/>
      </w:pPr>
      <w:r>
        <w:t xml:space="preserve">Los altos costos de la tecnología pueden limitar la capacidad de la entidad para implementar y mantener sistemas avanzados y eficientes.</w:t>
      </w:r>
    </w:p>
    <w:bookmarkEnd w:id="36"/>
    <w:bookmarkStart w:id="37"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9"/>
        </w:numPr>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9"/>
        </w:numPr>
      </w:pPr>
      <w:r>
        <w:t xml:space="preserve">capacitación en nuevas tecnologías y</w:t>
      </w:r>
    </w:p>
    <w:p>
      <w:pPr>
        <w:numPr>
          <w:ilvl w:val="0"/>
          <w:numId w:val="1019"/>
        </w:numPr>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la SG con la entrega de activos como hojas de ruta, catálogos y caracterización de los sistemas de información, matrices de interacción, entre otros.</w:t>
      </w:r>
    </w:p>
    <w:bookmarkEnd w:id="37"/>
    <w:bookmarkStart w:id="38" w:name="X200c519b34fb367f7b99d51769998dff7f688c0"/>
    <w:p>
      <w:pPr>
        <w:pStyle w:val="Heading3"/>
      </w:pPr>
      <w:r>
        <w:t xml:space="preserve">Diagnóstico de Debilidades Tecnológicas</w:t>
      </w:r>
    </w:p>
    <w:p>
      <w:pPr>
        <w:pStyle w:val="FirstParagraph"/>
      </w:pPr>
      <w:r>
        <w:t xml:space="preserve">Basado en el análisis de las matrices DOFA (Matriz de Evaluación de Factores Internos - MEFI y Matriz de Evaluación de Factores Externos - MEFE) [5, 6], se han identificado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 [7].</w:t>
      </w:r>
    </w:p>
    <w:p>
      <w:pPr>
        <w:numPr>
          <w:ilvl w:val="1"/>
          <w:numId w:val="1025"/>
        </w:numPr>
        <w:pStyle w:val="Compact"/>
      </w:pPr>
      <w:r>
        <w:t xml:space="preserve">Falta de un software que permita extraer información dinámica para la toma de decisiones [9].</w:t>
      </w:r>
    </w:p>
    <w:p>
      <w:pPr>
        <w:numPr>
          <w:ilvl w:val="1"/>
          <w:numId w:val="1025"/>
        </w:numPr>
        <w:pStyle w:val="Compact"/>
      </w:pPr>
      <w:r>
        <w:t xml:space="preserve">Se realizan análisis descriptivos, pero no predictivos y prospectivos de los resultados de la gestión, dificultando la toma de decisiones basada en evidencia [10].</w:t>
      </w:r>
    </w:p>
    <w:p>
      <w:pPr>
        <w:numPr>
          <w:ilvl w:val="1"/>
          <w:numId w:val="1025"/>
        </w:numPr>
        <w:pStyle w:val="Compact"/>
      </w:pPr>
      <w:r>
        <w:t xml:space="preserve">Cambios en las plataformas tecnológicas que no interactúan con las anteriores, generando posibles pérdidas de información y reprocesos [11].</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 [12].</w:t>
      </w:r>
    </w:p>
    <w:p>
      <w:pPr>
        <w:numPr>
          <w:ilvl w:val="1"/>
          <w:numId w:val="1026"/>
        </w:numPr>
        <w:pStyle w:val="Compact"/>
      </w:pPr>
      <w:r>
        <w:t xml:space="preserve">Deficiente conectividad y falta de interoperabilidad de las plataformas tecnológicas [13].</w:t>
      </w:r>
    </w:p>
    <w:p>
      <w:pPr>
        <w:numPr>
          <w:ilvl w:val="1"/>
          <w:numId w:val="1026"/>
        </w:numPr>
        <w:pStyle w:val="Compact"/>
      </w:pPr>
      <w:r>
        <w:t xml:space="preserve">Inestabilidad de la conectividad e indisponibilidad de servidores de información, comprometiendo la operatividad y el cumplimiento de metas [14].</w:t>
      </w:r>
    </w:p>
    <w:p>
      <w:pPr>
        <w:numPr>
          <w:ilvl w:val="1"/>
          <w:numId w:val="1026"/>
        </w:numPr>
        <w:pStyle w:val="Compact"/>
      </w:pPr>
      <w:r>
        <w:t xml:space="preserve">Obsolescencia tecnológica generalizada que implica la necesidad de renovación de equipos y dificulta la prestación de servicios [15].</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 [14].</w:t>
      </w:r>
    </w:p>
    <w:p>
      <w:pPr>
        <w:numPr>
          <w:ilvl w:val="1"/>
          <w:numId w:val="1027"/>
        </w:numPr>
        <w:pStyle w:val="Compact"/>
      </w:pPr>
      <w:r>
        <w:t xml:space="preserve">Vulneración de la inviolabilidad de acceso a cuentas de correo institucionales y aplicativos, afectando la reserva de la información [14].</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 [16].</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 [17].</w:t>
      </w:r>
    </w:p>
    <w:p>
      <w:pPr>
        <w:numPr>
          <w:ilvl w:val="1"/>
          <w:numId w:val="1028"/>
        </w:numPr>
        <w:pStyle w:val="Compact"/>
      </w:pPr>
      <w:r>
        <w:t xml:space="preserve">Falta de personal para actualizar las plataformas tecnológicas, lo que genera retrasos en la operación.</w:t>
      </w:r>
    </w:p>
    <w:bookmarkEnd w:id="38"/>
    <w:bookmarkStart w:id="39"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 [4].</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9"/>
    <w:bookmarkEnd w:id="40"/>
    <w:bookmarkStart w:id="48"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2"/>
        </w:numPr>
        <w:pStyle w:val="Compact"/>
      </w:pPr>
      <w:r>
        <w:t xml:space="preserve">Sistemas de gestión administrativa y financiera (ADMON, Administrativo y Financiero, SIGA, SAT Web, GLPI):</w:t>
      </w:r>
    </w:p>
    <w:p>
      <w:pPr>
        <w:numPr>
          <w:ilvl w:val="1"/>
          <w:numId w:val="1033"/>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3"/>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3"/>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3"/>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2"/>
        </w:numPr>
        <w:pStyle w:val="Compact"/>
      </w:pPr>
      <w:r>
        <w:t xml:space="preserve">Sistemas de interacción ciudadana y transparencia (Bogotá Te Escucha, Datos para la Transparencia (SATI), EMLAZE):</w:t>
      </w:r>
    </w:p>
    <w:p>
      <w:pPr>
        <w:numPr>
          <w:ilvl w:val="1"/>
          <w:numId w:val="1034"/>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4"/>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4"/>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4"/>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2"/>
        </w:numPr>
        <w:pStyle w:val="Compact"/>
      </w:pPr>
      <w:r>
        <w:t xml:space="preserve">Sistemas de fortalecimiento de capacidades y conocimiento (Bogotá Aprende TIC, DARUMA, GLOBO, SUDIVC, HUMANAPP, SIAB (El COFRE), KOHA, SIVIC, Data Warehouse AVANTI, Gestión Académica):</w:t>
      </w:r>
    </w:p>
    <w:bookmarkStart w:id="41" w:name="sec:relación-con-objetivos"/>
    <w:p>
      <w:pPr>
        <w:pStyle w:val="Heading4"/>
      </w:pPr>
      <w:r>
        <w:t xml:space="preserve">Relación con Objetivos</w:t>
      </w:r>
    </w:p>
    <w:p>
      <w:pPr>
        <w:numPr>
          <w:ilvl w:val="0"/>
          <w:numId w:val="1035"/>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5"/>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5"/>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5"/>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5"/>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41"/>
    <w:bookmarkStart w:id="45" w:name="sec:relación-con-oportunidades"/>
    <w:p>
      <w:pPr>
        <w:pStyle w:val="Heading4"/>
      </w:pPr>
      <w:r>
        <w:t xml:space="preserve">Relación con Oportunidades</w:t>
      </w:r>
    </w:p>
    <w:p>
      <w:pPr>
        <w:numPr>
          <w:ilvl w:val="0"/>
          <w:numId w:val="1036"/>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6"/>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6"/>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Proyecto arquitectura empresarial. Arquitectura de Aplicaciones Secretaria General Alcaldía Mayor de Bogotá (2025)" title="" id="43" name="Picture"/>
            <a:graphic>
              <a:graphicData uri="http://schemas.openxmlformats.org/drawingml/2006/picture">
                <pic:pic>
                  <pic:nvPicPr>
                    <pic:cNvPr descr="images/06.2n2.1a.SIdelAnalisisdeEntorno.png" id="44" name="Picture"/>
                    <pic:cNvPicPr>
                      <a:picLocks noChangeArrowheads="1" noChangeAspect="1"/>
                    </pic:cNvPicPr>
                  </pic:nvPicPr>
                  <pic:blipFill>
                    <a:blip r:embed="rId42"/>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2: 06.2n2.1a. SI del Analisis de Entorno.</w:t>
      </w:r>
      <w:r>
        <w:t xml:space="preserve"> </w:t>
      </w:r>
      <w:r>
        <w:rPr>
          <w:iCs/>
          <w:i/>
        </w:rPr>
        <w:t xml:space="preserve">Fuente: Proyecto arquitectura empresarial. Arquitectura de Aplicaciones Secretaria General Alcaldía Mayor de Bogotá (2025)</w:t>
      </w:r>
    </w:p>
    <w:bookmarkEnd w:id="45"/>
    <w:bookmarkStart w:id="47" w:name="sec:elementos-del-modelo"/>
    <w:p>
      <w:pPr>
        <w:pStyle w:val="Heading3"/>
      </w:pPr>
      <w:r>
        <w:t xml:space="preserve">Elementos del Modelo</w:t>
      </w:r>
    </w:p>
    <w:bookmarkStart w:id="46" w:name="Xccd0d3ffc1afbf43d4fbb04b56420c55d37dadd"/>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6"/>
    <w:p>
      <w:pPr>
        <w:pStyle w:val="BodyText"/>
      </w:pPr>
    </w:p>
    <w:bookmarkEnd w:id="47"/>
    <w:bookmarkEnd w:id="48"/>
    <w:bookmarkStart w:id="54" w:name="X795f6c874a27ed7c9e7402c08ac85bb47eefe04"/>
    <w:p>
      <w:pPr>
        <w:pStyle w:val="Heading2"/>
      </w:pPr>
      <w:r>
        <w:t xml:space="preserve">Alineación de aplicaciones de software con los procesos SG</w:t>
      </w:r>
    </w:p>
    <w:p>
      <w:pPr>
        <w:pStyle w:val="FirstParagraph"/>
      </w:pPr>
    </w:p>
    <w:p>
      <w:pPr>
        <w:pStyle w:val="BodyText"/>
      </w:pPr>
      <w:r>
        <w:t xml:space="preserve">La Secretaría General cuenta con sistemas de información que soportan las actividades gestionadas por los procesos misionales, estratégicos, de apoyo y de evaluación y control. Del análisis de fuentes y levantamientos de información presentamos la alineación entre las aplicaciones de software de SG, los procesos de negocio y el estado actual.</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Proyecto arquitectura empresarial. Arquitectura de Aplicaciones Secretaria General Alcaldía Mayor de Bogotá (2025)" title="" id="50" name="Picture"/>
            <a:graphic>
              <a:graphicData uri="http://schemas.openxmlformats.org/drawingml/2006/picture">
                <pic:pic>
                  <pic:nvPicPr>
                    <pic:cNvPr descr="images/06.2n3.a.AplicacionesyProcesos.png" id="51" name="Picture"/>
                    <pic:cNvPicPr>
                      <a:picLocks noChangeArrowheads="1" noChangeAspect="1"/>
                    </pic:cNvPicPr>
                  </pic:nvPicPr>
                  <pic:blipFill>
                    <a:blip r:embed="rId49"/>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3: 06.2n3.a. Aplicaciones y Procesos.</w:t>
      </w:r>
      <w:r>
        <w:t xml:space="preserve"> </w:t>
      </w:r>
      <w:r>
        <w:rPr>
          <w:iCs/>
          <w:i/>
        </w:rPr>
        <w:t xml:space="preserve">Fuente: Proyecto arquitectura empresarial. Arquitectura de Aplicaciones Secretaria General Alcaldía Mayor de Bogotá (2025)</w:t>
      </w:r>
    </w:p>
    <w:bookmarkStart w:id="53" w:name="sec:elementos-del-modelo-1"/>
    <w:p>
      <w:pPr>
        <w:pStyle w:val="Heading3"/>
      </w:pPr>
      <w:r>
        <w:t xml:space="preserve">Elementos del Modelo</w:t>
      </w:r>
    </w:p>
    <w:bookmarkStart w:id="52" w:name="X1d20c8e69ca0e89c142fbcbba0d1ef2a2844aee"/>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2"/>
    <w:p>
      <w:pPr>
        <w:pStyle w:val="BodyText"/>
      </w:pPr>
    </w:p>
    <w:bookmarkEnd w:id="53"/>
    <w:bookmarkEnd w:id="54"/>
    <w:bookmarkEnd w:id="5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2025-08-13T17:44:15Z</dcterms:created>
  <dcterms:modified xsi:type="dcterms:W3CDTF">2025-08-13T17:44:15Z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