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72" w:name="Xf9956c2ceb23613fa9195e31b7f9574feb1c5b2"/>
    <w:p>
      <w:pPr>
        <w:pStyle w:val="Heading1"/>
      </w:pPr>
      <w:r>
        <w:t xml:space="preserve">Documentación de Aplicaciones Negocio</w:t>
      </w:r>
    </w:p>
    <w:bookmarkStart w:id="26" w:name="sec:si-del-análisis-de-entorno-sg"/>
    <w:p>
      <w:pPr>
        <w:pStyle w:val="Heading2"/>
      </w:pPr>
      <w:r>
        <w:t xml:space="preserve">SI del Análisis de Entorno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mencionados en el Anexo Técnico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Sistemas de desarrollo y colaboración (GitLab):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8907028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90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5" w:name="sec:elementos-del-modelo"/>
    <w:p>
      <w:pPr>
        <w:pStyle w:val="Heading3"/>
      </w:pPr>
      <w:r>
        <w:t xml:space="preserve">Elementos del Modelo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Integrador de trámites y servicios ofrecidos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      </w:r>
          </w:p>
        </w:tc>
      </w:tr>
    </w:tbl>
    <w:p>
      <w:pPr>
        <w:pStyle w:val="BodyText"/>
      </w:pPr>
      <w:r>
        <w:t xml:space="preserve">Utilizado en los procesos de Gobierno abierto y relacionamiento con la ciudadanía,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KOHA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Data Warehouse | Application Component | Almacenes de datos de trabajo de SG.</w:t>
      </w:r>
      <w:r>
        <w:t xml:space="preserve"> </w:t>
      </w:r>
      <w:r>
        <w:t xml:space="preserve">|</w:t>
      </w:r>
      <w:r>
        <w:t xml:space="preserve"> </w:t>
      </w:r>
      <w:r>
        <w:t xml:space="preserve">| Gestión Académica | Application Component | Relacionado con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SIVIC | Application Component | Interviene en los procesos de Paz, víctimas y reconciliación, y Fortalecimiento de la Gestión Pública.</w:t>
      </w:r>
      <w:r>
        <w:t xml:space="preserve"> </w:t>
      </w:r>
      <w:r>
        <w:t xml:space="preserve">|</w:t>
      </w:r>
      <w:r>
        <w:t xml:space="preserve"> </w:t>
      </w:r>
      <w:r>
        <w:t xml:space="preserve">| AVANTI | Application Component | Apoya la Gestión del conocimiento.</w:t>
      </w:r>
      <w:r>
        <w:t xml:space="preserve"> </w:t>
      </w:r>
      <w:r>
        <w:t xml:space="preserve">|</w:t>
      </w:r>
      <w:r>
        <w:t xml:space="preserve"> </w:t>
      </w:r>
      <w:r>
        <w:t xml:space="preserve">| Sistemas de desarrollo | Grouping | |</w:t>
      </w:r>
      <w:r>
        <w:t xml:space="preserve"> </w:t>
      </w:r>
      <w:r>
        <w:t xml:space="preserve">| Ofimática y colaboración | Grouping | |</w:t>
      </w:r>
      <w:r>
        <w:t xml:space="preserve"> </w:t>
      </w:r>
      <w:r>
        <w:t xml:space="preserve">| Office 365 | Application Component | Ofimática y colaboración SG.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Table: Elementos de la vista. {#tbl:tblelement-06.2n2.SIdelAnalisisdeEntorno-id}</w:t>
      </w:r>
    </w:p>
    <w:p>
      <w:pPr>
        <w:pStyle w:val="BodyText"/>
      </w:pPr>
    </w:p>
    <w:bookmarkEnd w:id="25"/>
    <w:bookmarkEnd w:id="26"/>
    <w:bookmarkStart w:id="71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474514"/>
            <wp:effectExtent b="0" l="0" r="0" t="0"/>
            <wp:docPr descr="06.2n3. Aplicacion. Aplc y Procesos. Fuente: Propuesta servicios de ingeniería y evaluación de arquitectura Arquitectura de Aplicaciones Secretaria de la Alcaldía de Bogotá (2025)" title="" id="28" name="Picture"/>
            <a:graphic>
              <a:graphicData uri="http://schemas.openxmlformats.org/drawingml/2006/picture">
                <pic:pic>
                  <pic:nvPicPr>
                    <pic:cNvPr descr="images/06.2n3.Aplicacion.AplcyProces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7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Aplicacion. Aplc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0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0"/>
    <w:bookmarkStart w:id="31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31"/>
    <w:bookmarkStart w:id="32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32"/>
    <w:bookmarkStart w:id="33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3"/>
    <w:bookmarkStart w:id="34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4"/>
    <w:bookmarkStart w:id="35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35"/>
    <w:bookmarkStart w:id="36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36"/>
    <w:bookmarkStart w:id="37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37"/>
    <w:bookmarkStart w:id="38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38"/>
    <w:bookmarkStart w:id="39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39"/>
    <w:bookmarkStart w:id="40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40"/>
    <w:bookmarkStart w:id="41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gubernamental.. Soporta el proceso de Gobierno abierto y relacionamiento con la ciudadanía.</w:t>
      </w:r>
    </w:p>
    <w:bookmarkEnd w:id="41"/>
    <w:bookmarkStart w:id="42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</w:t>
      </w:r>
    </w:p>
    <w:p>
      <w:pPr>
        <w:pStyle w:val="BodyText"/>
      </w:pPr>
      <w:r>
        <w:t xml:space="preserve">Utilizado en los procesos de Gobierno abierto y relacionamiento con la ciudadanía, y Fortalecimiento de la Gestión Pública.</w:t>
      </w:r>
    </w:p>
    <w:bookmarkEnd w:id="42"/>
    <w:bookmarkStart w:id="43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43"/>
    <w:bookmarkStart w:id="44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44"/>
    <w:bookmarkStart w:id="45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45"/>
    <w:bookmarkStart w:id="46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46"/>
    <w:bookmarkStart w:id="47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47"/>
    <w:bookmarkStart w:id="48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48"/>
    <w:bookmarkStart w:id="49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49"/>
    <w:bookmarkStart w:id="50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50"/>
    <w:bookmarkStart w:id="51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51"/>
    <w:bookmarkStart w:id="52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52"/>
    <w:bookmarkStart w:id="53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53"/>
    <w:bookmarkStart w:id="54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54"/>
    <w:bookmarkStart w:id="55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55"/>
    <w:bookmarkStart w:id="56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56"/>
    <w:bookmarkStart w:id="57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57"/>
    <w:bookmarkStart w:id="58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58"/>
    <w:bookmarkStart w:id="59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59"/>
    <w:bookmarkStart w:id="60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diversos servicios y trámites ciudadanos.</w:t>
      </w:r>
    </w:p>
    <w:bookmarkEnd w:id="60"/>
    <w:bookmarkStart w:id="61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61"/>
    <w:bookmarkStart w:id="62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62"/>
    <w:bookmarkStart w:id="63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63"/>
    <w:bookmarkStart w:id="64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64"/>
    <w:bookmarkStart w:id="65" w:name="X003508485ebc5bb114b155bccadf8b57231e6df"/>
    <w:p>
      <w:pPr>
        <w:pStyle w:val="Heading3"/>
      </w:pPr>
      <w:r>
        <w:t xml:space="preserve">Portal Bogotá Capital Digital (Plataforma de Trámites en línea)</w:t>
      </w:r>
    </w:p>
    <w:p>
      <w:pPr>
        <w:pStyle w:val="FirstParagraph"/>
      </w:pPr>
      <w:r>
        <w:t xml:space="preserve">Portal Integrador de trámites y servicios ofrecidos a la ciudadanía. Componente de aplicación que permite la realización de trámites digitales.</w:t>
      </w:r>
    </w:p>
    <w:bookmarkEnd w:id="65"/>
    <w:bookmarkStart w:id="66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Portal Integrador de trámites y servicios ofrecidos a la ciudadanía.</w:t>
      </w:r>
    </w:p>
    <w:bookmarkEnd w:id="66"/>
    <w:bookmarkStart w:id="67" w:name="sec:datos-para-la-transparencia"/>
    <w:p>
      <w:pPr>
        <w:pStyle w:val="Heading3"/>
      </w:pPr>
      <w:r>
        <w:t xml:space="preserve">Datos para la Transparencia</w:t>
      </w:r>
    </w:p>
    <w:p>
      <w:pPr>
        <w:pStyle w:val="FirstParagraph"/>
      </w:pPr>
      <w:r>
        <w:t xml:space="preserve">Plataforma que facilita el acceso público a datos e información gubernamental.</w:t>
      </w:r>
    </w:p>
    <w:bookmarkEnd w:id="67"/>
    <w:bookmarkStart w:id="68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68"/>
    <w:bookmarkStart w:id="69" w:name="sec:sistema-de-gestión-documental"/>
    <w:p>
      <w:pPr>
        <w:pStyle w:val="Heading3"/>
      </w:pPr>
      <w:r>
        <w:t xml:space="preserve">Sistema de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69"/>
    <w:bookmarkStart w:id="70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70"/>
    <w:bookmarkEnd w:id="71"/>
    <w:bookmarkEnd w:id="72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2025-08-01T17:23:09Z</dcterms:created>
  <dcterms:modified xsi:type="dcterms:W3CDTF">2025-08-01T17:23:09Z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