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3" w:name="X3a0a8e971273aaf802e4a967511423fb353aa6a"/>
    <w:p>
      <w:pPr>
        <w:pStyle w:val="Heading1"/>
      </w:pPr>
      <w:r>
        <w:t xml:space="preserve">Visión del Dominio de Sistemas de Información SG</w:t>
      </w:r>
    </w:p>
    <w:bookmarkStart w:id="38"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SG que genera aportes tecnológicos alineados con los objetivos estratégicos de transformación digital de la SG. En este dominio tratamos con las necesidades de negocio para identificar, en conjunto con la Oficina de Tecnologías de la Información (OTIC), brechas y soluciones de aplicaciones de software y preparar el terreno para la selección de las soluciones tecnológicas acordes con los objetivos estratégicos de la SG.</w:t>
      </w:r>
    </w:p>
    <w:bookmarkStart w:id="21" w:name="X2de250970d849ab1817c218a195d14f0222f283"/>
    <w:p>
      <w:pPr>
        <w:pStyle w:val="Heading4"/>
      </w:pPr>
      <w:r>
        <w:t xml:space="preserve">Objetivo de la Arquitectura de Aplicaciones</w:t>
      </w:r>
    </w:p>
    <w:p>
      <w:pPr>
        <w:pStyle w:val="FirstParagraph"/>
      </w:pPr>
      <w:r>
        <w:t xml:space="preserve">El objetivo principal del trabajo de arquitectura de aplicaciones de este proyecto es desarrollar el conocimiento y las especificaciones de los sistemas de información que soporten la arquitectura de negocio de la SG y que implementen la visión de la arquitectura empresarial, objeto de este proyecto.</w:t>
      </w:r>
    </w:p>
    <w:p>
      <w:pPr>
        <w:pStyle w:val="BodyText"/>
      </w:pPr>
      <w:r>
        <w:t xml:space="preserve">En términos más específicos, la arquitectura de aplicaciones busca:</w:t>
      </w:r>
    </w:p>
    <w:p>
      <w:pPr>
        <w:numPr>
          <w:ilvl w:val="0"/>
          <w:numId w:val="1003"/>
        </w:numPr>
        <w:pStyle w:val="Compact"/>
      </w:pPr>
      <w:r>
        <w:t xml:space="preserve">Definir la arquitectura de las aplicaciones necesarias para soportar los procesos de negocio.</w:t>
      </w:r>
    </w:p>
    <w:p>
      <w:pPr>
        <w:numPr>
          <w:ilvl w:val="0"/>
          <w:numId w:val="1003"/>
        </w:numPr>
        <w:pStyle w:val="Compact"/>
      </w:pPr>
      <w:r>
        <w:t xml:space="preserve">Identificar las capacidades de negocio de la SG que deben ser soportadas por las aplicaciones de software.</w:t>
      </w:r>
    </w:p>
    <w:p>
      <w:pPr>
        <w:numPr>
          <w:ilvl w:val="0"/>
          <w:numId w:val="1003"/>
        </w:numPr>
        <w:pStyle w:val="Compact"/>
      </w:pPr>
      <w:r>
        <w:t xml:space="preserve">Establecer la interacción y el flujo de información entre las diferentes aplicaciones.</w:t>
      </w:r>
    </w:p>
    <w:p>
      <w:pPr>
        <w:numPr>
          <w:ilvl w:val="0"/>
          <w:numId w:val="1003"/>
        </w:numPr>
        <w:pStyle w:val="Compact"/>
      </w:pPr>
      <w:r>
        <w:t xml:space="preserve">Considerar aspectos como la escalabilidad, el rendimiento, la mantenibilidad y la seguridad de las aplicaciones.</w:t>
      </w:r>
    </w:p>
    <w:bookmarkEnd w:id="21"/>
    <w:bookmarkStart w:id="22" w:name="sec:relación-con-las-fases-del-proyecto"/>
    <w:p>
      <w:pPr>
        <w:pStyle w:val="Heading4"/>
      </w:pPr>
      <w:r>
        <w:t xml:space="preserve">Relación con las Fases del Proyecto</w:t>
      </w:r>
    </w:p>
    <w:p>
      <w:pPr>
        <w:pStyle w:val="FirstParagraph"/>
      </w:pPr>
      <w:r>
        <w:t xml:space="preserve">El trabajo que estamos realizando desde la arquitectura de aplicaciones la SG opera en conjunto y coordinación con otros dominios y fases de la arquitectura empresarial de la SG. Este trabajo se encuentra relacionado de la siguiente manera.</w:t>
      </w:r>
    </w:p>
    <w:p>
      <w:pPr>
        <w:numPr>
          <w:ilvl w:val="0"/>
          <w:numId w:val="1004"/>
        </w:numPr>
        <w:pStyle w:val="Compact"/>
      </w:pPr>
      <w:r>
        <w:t xml:space="preserve">Relación con la Visión de la Arquitectura: Los sistemas de información toman como entrada principal la visión de este ejercicio de arquitectura, que establece el alcance, los objetivos de alto nivel, los principios de la arquitectura y la visión del negocio con el propópsito de alinearse y contribuir a la consecución de esta visión.</w:t>
      </w:r>
    </w:p>
    <w:p>
      <w:pPr>
        <w:numPr>
          <w:ilvl w:val="0"/>
          <w:numId w:val="1004"/>
        </w:numPr>
        <w:pStyle w:val="Compact"/>
      </w:pPr>
      <w:r>
        <w:t xml:space="preserve">Relación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domio de tecnología e infraestructura. La Arquitectura de Sistemas de Información aportará con indicios de la tecnología subyacente (hardware, software de infraestructura, middleware, redes) que servirá a su vez para soportar la operación de las aplicaciones y gestionar los datos.</w:t>
      </w:r>
    </w:p>
    <w:p>
      <w:pPr>
        <w:numPr>
          <w:ilvl w:val="0"/>
          <w:numId w:val="1004"/>
        </w:numPr>
        <w:pStyle w:val="Compact"/>
      </w:pPr>
      <w:r>
        <w:t xml:space="preserve">Relación con Oportunidades y Soluciones y Hojas de Ruta: Las arquitecturas aplicaciones desarrolladas en este dominio son insumos para identificar oportunidades de implementación en la SG, y para desarrollar la hoja de rutade las arquitecturas actuales a las arquitecturas objetivo.</w:t>
      </w:r>
    </w:p>
    <w:bookmarkEnd w:id="22"/>
    <w:bookmarkStart w:id="23" w:name="X141d0136a722a0697bae690250e2ad753c91cf3"/>
    <w:p>
      <w:pPr>
        <w:pStyle w:val="Heading4"/>
      </w:pPr>
      <w:r>
        <w:t xml:space="preserve">Requisitos Necesarios para su Realización</w:t>
      </w:r>
    </w:p>
    <w:p>
      <w:pPr>
        <w:pStyle w:val="FirstParagraph"/>
      </w:pPr>
      <w:r>
        <w:t xml:space="preserve">Para llevar a cabo las actividades del dominio de sistemas de información y arquitectura de aplicaciones, debemos contar con ciertos requisitos y entradas que provienen principalmente de las fases previas y de los otros dominios del proceso de Arquitectura Empresarial de la SG.</w:t>
      </w:r>
    </w:p>
    <w:p>
      <w:pPr>
        <w:numPr>
          <w:ilvl w:val="0"/>
          <w:numId w:val="1005"/>
        </w:numPr>
        <w:pStyle w:val="Compact"/>
      </w:pPr>
      <w:r>
        <w:t xml:space="preserve">Principios de Arquitectura de Sistemas de Información de la SG: Principios específicos de la SG que guiarán el diseño de los datos y las aplicaciones, con el fin de asegurar la coherencia y la alineación con los objetivos empresariales.</w:t>
      </w:r>
    </w:p>
    <w:p>
      <w:pPr>
        <w:numPr>
          <w:ilvl w:val="0"/>
          <w:numId w:val="1005"/>
        </w:numPr>
        <w:pStyle w:val="Compact"/>
      </w:pPr>
      <w:r>
        <w:t xml:space="preserve">Visión General de la Arquitectura: La</w:t>
      </w:r>
      <w:r>
        <w:t xml:space="preserve"> </w:t>
      </w:r>
      <w:r>
        <w:t xml:space="preserve">“</w:t>
      </w:r>
      <w:r>
        <w:t xml:space="preserve">Visión de la Arquitectura</w:t>
      </w:r>
      <w:r>
        <w:t xml:space="preserve">”</w:t>
      </w:r>
      <w:r>
        <w:t xml:space="preserve"> </w:t>
      </w:r>
      <w:r>
        <w:t xml:space="preserve">y los</w:t>
      </w:r>
      <w:r>
        <w:t xml:space="preserve"> </w:t>
      </w:r>
      <w:r>
        <w:t xml:space="preserve">“</w:t>
      </w:r>
      <w:r>
        <w:t xml:space="preserve">Principios de la Arquitectura</w:t>
      </w:r>
      <w:r>
        <w:t xml:space="preserve">”</w:t>
      </w:r>
      <w:r>
        <w:t xml:space="preserve"> </w:t>
      </w:r>
      <w:r>
        <w:t xml:space="preserve">establecidos en las fases iniciales, que guiarán las decisiones de diseño de este dominio.</w:t>
      </w:r>
    </w:p>
    <w:p>
      <w:pPr>
        <w:numPr>
          <w:ilvl w:val="0"/>
          <w:numId w:val="1005"/>
        </w:numPr>
        <w:pStyle w:val="Compact"/>
      </w:pPr>
      <w:r>
        <w:t xml:space="preserve">Requisitos de Negocio: Una comprensión clara y detallada de los requisitos de negocio, procesos de negocio, funciones y estructuras organizacionales definidos en conjunto con el dominio de arquitectura de negocios.</w:t>
      </w:r>
    </w:p>
    <w:p>
      <w:pPr>
        <w:numPr>
          <w:ilvl w:val="0"/>
          <w:numId w:val="1005"/>
        </w:numPr>
        <w:pStyle w:val="Compact"/>
      </w:pPr>
      <w:r>
        <w:t xml:space="preserve">Arquitectura de Negocio Actual (línea base) y Objetivo: Los modelos de Arquitectura de Negocio actual y deseada, que servirán como punto de partida y destino para la Arquitectura de Sistemas de Información.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SG.</w:t>
      </w:r>
    </w:p>
    <w:p>
      <w:pPr>
        <w:pStyle w:val="BodyText"/>
      </w:pPr>
      <w:r>
        <w:t xml:space="preserve">En particular, y dentro del alcance de la visión de este proyecto, la arquitectura de sistemas de información de SG se plantea:</w:t>
      </w:r>
    </w:p>
    <w:p>
      <w:pPr>
        <w:numPr>
          <w:ilvl w:val="0"/>
          <w:numId w:val="1006"/>
        </w:numPr>
        <w:pStyle w:val="Compact"/>
      </w:pPr>
      <w:r>
        <w:t xml:space="preserve">Definir la arquitectura de las aplicaciones (SI) necesarias para soportar los procesos de negocio de SG.</w:t>
      </w:r>
    </w:p>
    <w:p>
      <w:pPr>
        <w:numPr>
          <w:ilvl w:val="0"/>
          <w:numId w:val="1006"/>
        </w:numPr>
        <w:pStyle w:val="Compact"/>
      </w:pPr>
      <w:r>
        <w:t xml:space="preserve">Identificar las funciones de negocio que deben ser soportadas por las aplicaciones de SG.</w:t>
      </w:r>
    </w:p>
    <w:p>
      <w:pPr>
        <w:numPr>
          <w:ilvl w:val="0"/>
          <w:numId w:val="1006"/>
        </w:numPr>
        <w:pStyle w:val="Compact"/>
      </w:pPr>
      <w:r>
        <w:t xml:space="preserve">Establecer la interacción y el flujo de información entre las diferentes aplicaciones de SG.</w:t>
      </w:r>
    </w:p>
    <w:p>
      <w:pPr>
        <w:numPr>
          <w:ilvl w:val="0"/>
          <w:numId w:val="1006"/>
        </w:numPr>
        <w:pStyle w:val="Compact"/>
      </w:pPr>
      <w:r>
        <w:t xml:space="preserve">Considerar aspectos sistémicos como la escalabilidad, el rendimiento, la mantenibilidad y la seguridad de las aplicaciones de SG.</w:t>
      </w:r>
    </w:p>
    <w:p>
      <w:pPr>
        <w:numPr>
          <w:ilvl w:val="0"/>
          <w:numId w:val="1006"/>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En lo específico, este dominio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7"/>
        </w:numPr>
        <w:pStyle w:val="Compact"/>
      </w:pPr>
      <w:r>
        <w:t xml:space="preserve">Secretaría Privada</w:t>
      </w:r>
    </w:p>
    <w:p>
      <w:pPr>
        <w:numPr>
          <w:ilvl w:val="1"/>
          <w:numId w:val="1008"/>
        </w:numPr>
        <w:pStyle w:val="Compact"/>
      </w:pPr>
      <w:r>
        <w:t xml:space="preserve">Oficina Consejería Distrital de Comunicación. César Augusto Castro Rodríguez</w:t>
      </w:r>
    </w:p>
    <w:p>
      <w:pPr>
        <w:numPr>
          <w:ilvl w:val="1"/>
          <w:numId w:val="1008"/>
        </w:numPr>
        <w:pStyle w:val="Compact"/>
      </w:pPr>
      <w:r>
        <w:t xml:space="preserve">Oficina Consejería Distrital de Tecnologías de la Información y las Comunicaciones -TIC. Diana Celis Mora</w:t>
      </w:r>
    </w:p>
    <w:p>
      <w:pPr>
        <w:numPr>
          <w:ilvl w:val="0"/>
          <w:numId w:val="1007"/>
        </w:numPr>
        <w:pStyle w:val="Compact"/>
      </w:pPr>
      <w:r>
        <w:t xml:space="preserve">Despacho del Secretario General. Miguel Andrés Silva Moyano</w:t>
      </w:r>
    </w:p>
    <w:p>
      <w:pPr>
        <w:numPr>
          <w:ilvl w:val="1"/>
          <w:numId w:val="1009"/>
        </w:numPr>
        <w:pStyle w:val="Compact"/>
      </w:pPr>
      <w:r>
        <w:t xml:space="preserve">Oficina de Tecnologías de la Información y las Comunicaciones. Arleth Patricia Saurith Contreras</w:t>
      </w:r>
    </w:p>
    <w:p>
      <w:pPr>
        <w:numPr>
          <w:ilvl w:val="1"/>
          <w:numId w:val="1009"/>
        </w:numPr>
        <w:pStyle w:val="Compact"/>
      </w:pPr>
      <w:r>
        <w:t xml:space="preserve">Subsecretaría Distrital de Fortalecimiento Institucional. Alejandra Rodas Gaiter</w:t>
      </w:r>
    </w:p>
    <w:p>
      <w:pPr>
        <w:numPr>
          <w:ilvl w:val="2"/>
          <w:numId w:val="1010"/>
        </w:numPr>
        <w:pStyle w:val="Compact"/>
      </w:pPr>
      <w:r>
        <w:t xml:space="preserve">Dirección Distrital de Desarrollo Institucional. Sebastian Estrada Jaramillo</w:t>
      </w:r>
    </w:p>
    <w:p>
      <w:pPr>
        <w:numPr>
          <w:ilvl w:val="3"/>
          <w:numId w:val="1011"/>
        </w:numPr>
        <w:pStyle w:val="Compact"/>
      </w:pPr>
      <w:r>
        <w:t xml:space="preserve">Subdirección Técnica de Desarrollo Institucional. Diego Canesco Arenas</w:t>
      </w:r>
    </w:p>
    <w:p>
      <w:pPr>
        <w:numPr>
          <w:ilvl w:val="1"/>
          <w:numId w:val="1009"/>
        </w:numPr>
        <w:pStyle w:val="Compact"/>
      </w:pPr>
      <w:r>
        <w:t xml:space="preserve">Subsecretaría de Servicio a la Ciudadanía . Adriana Vargas Tamayo</w:t>
      </w:r>
    </w:p>
    <w:p>
      <w:pPr>
        <w:numPr>
          <w:ilvl w:val="2"/>
          <w:numId w:val="1012"/>
        </w:numPr>
        <w:pStyle w:val="Compact"/>
      </w:pPr>
      <w:r>
        <w:t xml:space="preserve">Dirección del Sistema Distrital de Servicio a la Ciudadanía. Enrique Cusba García</w:t>
      </w:r>
    </w:p>
    <w:p>
      <w:pPr>
        <w:numPr>
          <w:ilvl w:val="1"/>
          <w:numId w:val="1009"/>
        </w:numPr>
        <w:pStyle w:val="Compact"/>
      </w:pPr>
      <w:r>
        <w:t xml:space="preserve">Subsecretaría Corporativa. Henry Villamarín Serrano</w:t>
      </w:r>
    </w:p>
    <w:p>
      <w:pPr>
        <w:numPr>
          <w:ilvl w:val="1"/>
          <w:numId w:val="1009"/>
        </w:numPr>
        <w:pStyle w:val="Compact"/>
      </w:pPr>
      <w:r>
        <w:t xml:space="preserve">Subsecreataría de Servicios Ciudadanos (…)</w:t>
      </w:r>
    </w:p>
    <w:p>
      <w:pPr>
        <w:numPr>
          <w:ilvl w:val="1"/>
          <w:numId w:val="1009"/>
        </w:numPr>
        <w:pStyle w:val="Compact"/>
      </w:pPr>
      <w:r>
        <w:t xml:space="preserve">Subsecreataría de Inversión y FF (…)</w:t>
      </w:r>
    </w:p>
    <w:p>
      <w:pPr>
        <w:numPr>
          <w:ilvl w:val="1"/>
          <w:numId w:val="1009"/>
        </w:numPr>
        <w:pStyle w:val="Compact"/>
      </w:pPr>
      <w:r>
        <w:t xml:space="preserve">Subsecreataría de Operaciones</w:t>
      </w:r>
    </w:p>
    <w:p>
      <w:pPr>
        <w:numPr>
          <w:ilvl w:val="1"/>
          <w:numId w:val="1009"/>
        </w:numPr>
        <w:pStyle w:val="Compact"/>
      </w:pPr>
      <w:r>
        <w:t xml:space="preserve">Subsecreataría de Relaciones Internacionales (…)</w:t>
      </w:r>
    </w:p>
    <w:p>
      <w:pPr>
        <w:numPr>
          <w:ilvl w:val="1"/>
          <w:numId w:val="1009"/>
        </w:numPr>
        <w:pStyle w:val="Compact"/>
      </w:pPr>
      <w:r>
        <w:t xml:space="preserve">Subsecreataría de Comunicaciones (…)</w:t>
      </w:r>
    </w:p>
    <w:p>
      <w:pPr>
        <w:numPr>
          <w:ilvl w:val="0"/>
          <w:numId w:val="1007"/>
        </w:numPr>
        <w:pStyle w:val="Compact"/>
      </w:pPr>
      <w:r>
        <w:t xml:space="preserve">Consejería TI (Celi)</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3"/>
        </w:numPr>
        <w:pStyle w:val="Compact"/>
      </w:pPr>
      <w:r>
        <w:t xml:space="preserve">Administrativo y Financiero: Soporta la gestión financiera, gestión de servicios administrativos y tecnológicos, y gestión de recursos físicos</w:t>
      </w:r>
    </w:p>
    <w:p>
      <w:pPr>
        <w:numPr>
          <w:ilvl w:val="0"/>
          <w:numId w:val="1013"/>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13"/>
        </w:numPr>
        <w:pStyle w:val="Compact"/>
      </w:pPr>
      <w:r>
        <w:t xml:space="preserve">Bogotá Aprende TIC: Apoya los procesos de Gobierno abierto y relacionamiento con la ciudadanía, y Fortalecimiento de la Gestión Pública</w:t>
      </w:r>
    </w:p>
    <w:p>
      <w:pPr>
        <w:numPr>
          <w:ilvl w:val="0"/>
          <w:numId w:val="1013"/>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13"/>
        </w:numPr>
        <w:pStyle w:val="Compact"/>
      </w:pPr>
      <w:r>
        <w:t xml:space="preserve">SIGA: Interviene en la gestión de contratación, gestión financiera, gestión de servicios administrativos y tecnológicos, y gestión de recursos físicos</w:t>
      </w:r>
    </w:p>
    <w:p>
      <w:pPr>
        <w:numPr>
          <w:ilvl w:val="0"/>
          <w:numId w:val="1013"/>
        </w:numPr>
        <w:pStyle w:val="Compact"/>
      </w:pPr>
      <w:r>
        <w:t xml:space="preserve">SAT Web: Relacionado con la gestión de servicios administrativos y tecnológicos</w:t>
      </w:r>
    </w:p>
    <w:p>
      <w:pPr>
        <w:numPr>
          <w:ilvl w:val="0"/>
          <w:numId w:val="1013"/>
        </w:numPr>
        <w:pStyle w:val="Compact"/>
      </w:pPr>
      <w:r>
        <w:t xml:space="preserve">GLOBO: Utilizado en el proceso de Fortalecimiento de la Gestión Pública</w:t>
      </w:r>
    </w:p>
    <w:p>
      <w:pPr>
        <w:numPr>
          <w:ilvl w:val="0"/>
          <w:numId w:val="1013"/>
        </w:numPr>
        <w:pStyle w:val="Compact"/>
      </w:pPr>
      <w:r>
        <w:t xml:space="preserve">Datos para la Transparencia (SATI): Soporta el proceso de Gobierno abierto y relacionamiento con la ciudadanía</w:t>
      </w:r>
    </w:p>
    <w:p>
      <w:pPr>
        <w:numPr>
          <w:ilvl w:val="0"/>
          <w:numId w:val="1013"/>
        </w:numPr>
        <w:pStyle w:val="Compact"/>
      </w:pPr>
      <w:r>
        <w:t xml:space="preserve">SUDIVC: Se aplica en los procesos de Gobierno abierto y relacionamiento con la ciudadanía, Paz, víctimas y reconciliación, y Fortalecimiento de la Gestión Pública</w:t>
      </w:r>
    </w:p>
    <w:p>
      <w:pPr>
        <w:numPr>
          <w:ilvl w:val="0"/>
          <w:numId w:val="1013"/>
        </w:numPr>
        <w:pStyle w:val="Compact"/>
      </w:pPr>
      <w:r>
        <w:t xml:space="preserve">HUMANAPP: Apoya la gestión del talento humano</w:t>
      </w:r>
    </w:p>
    <w:p>
      <w:pPr>
        <w:numPr>
          <w:ilvl w:val="0"/>
          <w:numId w:val="1013"/>
        </w:numPr>
        <w:pStyle w:val="Compact"/>
      </w:pPr>
      <w:r>
        <w:t xml:space="preserve">SIAB (El COFRE): Utilizado en los procesos de Gobierno abierto y relacionamiento con la ciudadanía, y Fortalecimiento de la Gestión Pública</w:t>
      </w:r>
    </w:p>
    <w:p>
      <w:pPr>
        <w:numPr>
          <w:ilvl w:val="0"/>
          <w:numId w:val="1013"/>
        </w:numPr>
        <w:pStyle w:val="Compact"/>
      </w:pPr>
      <w:r>
        <w:t xml:space="preserve">KOHA: Relacionado con la Gestión del conocimiento</w:t>
      </w:r>
    </w:p>
    <w:p>
      <w:pPr>
        <w:numPr>
          <w:ilvl w:val="0"/>
          <w:numId w:val="1013"/>
        </w:numPr>
        <w:pStyle w:val="Compact"/>
      </w:pPr>
      <w:r>
        <w:t xml:space="preserve">SIVIC: Interviene en los procesos de Paz, víctimas y reconciliación, y Fortalecimiento de la Gestión Pública</w:t>
      </w:r>
    </w:p>
    <w:p>
      <w:pPr>
        <w:numPr>
          <w:ilvl w:val="0"/>
          <w:numId w:val="1013"/>
        </w:numPr>
        <w:pStyle w:val="Compact"/>
      </w:pPr>
      <w:r>
        <w:t xml:space="preserve">Data Warehouse AVANTI: Apoya la Gestión del conocimiento</w:t>
      </w:r>
    </w:p>
    <w:p>
      <w:pPr>
        <w:numPr>
          <w:ilvl w:val="0"/>
          <w:numId w:val="1013"/>
        </w:numPr>
        <w:pStyle w:val="Compact"/>
      </w:pPr>
      <w:r>
        <w:t xml:space="preserve">Gestión Académica: Relacionado con la Gestión del conocimiento</w:t>
      </w:r>
    </w:p>
    <w:p>
      <w:pPr>
        <w:numPr>
          <w:ilvl w:val="0"/>
          <w:numId w:val="1013"/>
        </w:numPr>
        <w:pStyle w:val="Compact"/>
      </w:pPr>
      <w:r>
        <w:t xml:space="preserve">EMLAZE: Utilizado en los procesos de Gobierno abierto y relacionamiento con la ciudadanía, y Fortalecimiento de la Gestión Pública</w:t>
      </w:r>
    </w:p>
    <w:p>
      <w:pPr>
        <w:numPr>
          <w:ilvl w:val="0"/>
          <w:numId w:val="1013"/>
        </w:numPr>
        <w:pStyle w:val="Compact"/>
      </w:pPr>
      <w:r>
        <w:t xml:space="preserve">GLPI: Soporta la gestión de servicios administrativos y tecnológicos</w:t>
      </w:r>
    </w:p>
    <w:p>
      <w:pPr>
        <w:numPr>
          <w:ilvl w:val="0"/>
          <w:numId w:val="1013"/>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4"/>
    <w:bookmarkEnd w:id="25"/>
    <w:bookmarkStart w:id="26"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empresartial.</w:t>
      </w:r>
    </w:p>
    <w:tbl>
      <w:tblPr>
        <w:tblStyle w:val="Table"/>
        <w:tblW w:type="pct" w:w="5000"/>
        <w:tblLook w:firstRow="1" w:lastRow="0" w:firstColumn="0" w:lastColumn="0" w:noHBand="0" w:noVBand="0" w:val="0020"/>
        <w:jc w:val="start"/>
        <w:tblLayout w:type="fixed"/>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p>
      <w:pPr>
        <w:pStyle w:val="BodyText"/>
      </w:pPr>
      <w:r>
        <w:t xml:space="preserve">A continuación, presentamos una descripción más detallada de los entregables relacionados con la visión del dominio de sistemas de información de la SG.</w:t>
      </w:r>
    </w:p>
    <w:bookmarkEnd w:id="26"/>
    <w:bookmarkStart w:id="27"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la Secretaria General Alcaldía Mayor de Bogotá (SG) son herramientas para el relacionamiento con otros dominios del ejercicio de arquitectura empresarial de la SG. Mediante las matrices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4"/>
        </w:numPr>
        <w:pStyle w:val="Compact"/>
      </w:pPr>
      <w:r>
        <w:t xml:space="preserve">Las matrices son cruciales para especificar cómo debe relacionarse la información entre los sistemas y otros dominios</w:t>
      </w:r>
    </w:p>
    <w:p>
      <w:pPr>
        <w:numPr>
          <w:ilvl w:val="0"/>
          <w:numId w:val="1014"/>
        </w:numPr>
        <w:pStyle w:val="Compact"/>
      </w:pPr>
      <w:r>
        <w:t xml:space="preserve">proporcionan información crítica para los proyectos que involucren a los sistemas de SG.</w:t>
      </w:r>
    </w:p>
    <w:p>
      <w:pPr>
        <w:numPr>
          <w:ilvl w:val="0"/>
          <w:numId w:val="1014"/>
        </w:numPr>
        <w:pStyle w:val="Compact"/>
      </w:pPr>
      <w:r>
        <w:t xml:space="preserve">Contribuye a la determinación de brechas (gaps) en las necesidades de compartir información (o funciones de los sistemas) ente los elementos de la matriz.</w:t>
      </w:r>
    </w:p>
    <w:p>
      <w:pPr>
        <w:numPr>
          <w:ilvl w:val="0"/>
          <w:numId w:val="1014"/>
        </w:numPr>
        <w:pStyle w:val="Compact"/>
      </w:pPr>
      <w:r>
        <w:t xml:space="preserve">La matriz ayuda a definir el nivel de detalle de lo que se comparte.</w:t>
      </w:r>
    </w:p>
    <w:p>
      <w:pPr>
        <w:numPr>
          <w:ilvl w:val="0"/>
          <w:numId w:val="1014"/>
        </w:numPr>
        <w:pStyle w:val="Compact"/>
      </w:pPr>
      <w:r>
        <w:t xml:space="preserve">Se deben establecer medidas similares para la interoperabilidad de servicios/negocios y la infraestructura (tecnología física).</w:t>
      </w:r>
    </w:p>
    <w:p>
      <w:pPr>
        <w:numPr>
          <w:ilvl w:val="0"/>
          <w:numId w:val="1014"/>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7"/>
    <w:bookmarkStart w:id="29"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construímos a partir de las sesiones de levantamiento, entrevistas, y cuestionarios compartidos en el mes de julio, junto con la recopilación estructurada de las fuentes de información sobre cada sistema.</w:t>
      </w:r>
    </w:p>
    <w:bookmarkStart w:id="28" w:name="sec:contenido-mínimo-del-catálogo"/>
    <w:p>
      <w:pPr>
        <w:pStyle w:val="Heading4"/>
      </w:pPr>
      <w:r>
        <w:t xml:space="preserve">Contenido Mínimo del Catálogo</w:t>
      </w:r>
    </w:p>
    <w:p>
      <w:pPr>
        <w:numPr>
          <w:ilvl w:val="0"/>
          <w:numId w:val="1015"/>
        </w:numPr>
        <w:pStyle w:val="Compact"/>
      </w:pPr>
      <w:r>
        <w:t xml:space="preserve">ID de Aplicación. Código de identificación de la aplicación de software.</w:t>
      </w:r>
    </w:p>
    <w:p>
      <w:pPr>
        <w:numPr>
          <w:ilvl w:val="0"/>
          <w:numId w:val="1015"/>
        </w:numPr>
        <w:pStyle w:val="Compact"/>
      </w:pPr>
      <w:r>
        <w:t xml:space="preserve">Nombre de la Aplicación. Nombre de identificación de la aplicación de software.</w:t>
      </w:r>
    </w:p>
    <w:p>
      <w:pPr>
        <w:numPr>
          <w:ilvl w:val="0"/>
          <w:numId w:val="1015"/>
        </w:numPr>
        <w:pStyle w:val="Compact"/>
      </w:pPr>
      <w:r>
        <w:t xml:space="preserve">Descripción. Funcionamiento básico de la aplicación de software.</w:t>
      </w:r>
    </w:p>
    <w:p>
      <w:pPr>
        <w:numPr>
          <w:ilvl w:val="0"/>
          <w:numId w:val="1015"/>
        </w:numPr>
        <w:pStyle w:val="Compact"/>
      </w:pPr>
      <w:r>
        <w:t xml:space="preserve">Estado: [En producción, en desmantelamiento, en implementación, Inactiva]</w:t>
      </w:r>
    </w:p>
    <w:p>
      <w:pPr>
        <w:numPr>
          <w:ilvl w:val="0"/>
          <w:numId w:val="1015"/>
        </w:numPr>
        <w:pStyle w:val="Compact"/>
      </w:pPr>
      <w:r>
        <w:t xml:space="preserve">Categoría: [Sistema de apoyo al negocio (misional), herramienta de gestión, Ofimática, Seguridad]</w:t>
      </w:r>
    </w:p>
    <w:p>
      <w:pPr>
        <w:numPr>
          <w:ilvl w:val="0"/>
          <w:numId w:val="1015"/>
        </w:numPr>
        <w:pStyle w:val="Compact"/>
      </w:pPr>
      <w:r>
        <w:t xml:space="preserve">Proceso(s) de Negocio Clave(s)</w:t>
      </w:r>
    </w:p>
    <w:p>
      <w:pPr>
        <w:numPr>
          <w:ilvl w:val="0"/>
          <w:numId w:val="1015"/>
        </w:numPr>
        <w:pStyle w:val="Compact"/>
      </w:pPr>
      <w:r>
        <w:t xml:space="preserve">Capacidad: Capacidades de nivel 2 relacionadas con la aplicación de software.</w:t>
      </w:r>
    </w:p>
    <w:p>
      <w:pPr>
        <w:numPr>
          <w:ilvl w:val="0"/>
          <w:numId w:val="1015"/>
        </w:numPr>
        <w:pStyle w:val="Compact"/>
      </w:pPr>
      <w:r>
        <w:t xml:space="preserve">Tipo de aplicación: Web, Móvil, Cliente Servidor</w:t>
      </w:r>
    </w:p>
    <w:p>
      <w:pPr>
        <w:numPr>
          <w:ilvl w:val="0"/>
          <w:numId w:val="1015"/>
        </w:numPr>
        <w:pStyle w:val="Compact"/>
      </w:pPr>
      <w:r>
        <w:t xml:space="preserve">Método de despliegue: on-premises, cloud SAAS, cloud PAAS, cloud IAAS</w:t>
      </w:r>
    </w:p>
    <w:p>
      <w:pPr>
        <w:numPr>
          <w:ilvl w:val="0"/>
          <w:numId w:val="1015"/>
        </w:numPr>
        <w:pStyle w:val="Compact"/>
      </w:pPr>
      <w:r>
        <w:t xml:space="preserve">Tecnología. Aspectos técnicos de la aplicación de software.</w:t>
      </w:r>
    </w:p>
    <w:p>
      <w:pPr>
        <w:numPr>
          <w:ilvl w:val="0"/>
          <w:numId w:val="1015"/>
        </w:numPr>
        <w:pStyle w:val="Compact"/>
      </w:pPr>
      <w:r>
        <w:t xml:space="preserve">Versión actual de la tecnología</w:t>
      </w:r>
    </w:p>
    <w:p>
      <w:pPr>
        <w:numPr>
          <w:ilvl w:val="0"/>
          <w:numId w:val="1015"/>
        </w:numPr>
        <w:pStyle w:val="Compact"/>
      </w:pPr>
      <w:r>
        <w:t xml:space="preserve">Responsable técnico en la entidad</w:t>
      </w:r>
    </w:p>
    <w:p>
      <w:pPr>
        <w:numPr>
          <w:ilvl w:val="0"/>
          <w:numId w:val="1015"/>
        </w:numPr>
        <w:pStyle w:val="Compact"/>
      </w:pPr>
      <w:r>
        <w:t xml:space="preserve">Responsable funcional en la entidad</w:t>
      </w:r>
    </w:p>
    <w:p>
      <w:pPr>
        <w:numPr>
          <w:ilvl w:val="0"/>
          <w:numId w:val="1015"/>
        </w:numPr>
        <w:pStyle w:val="Compact"/>
      </w:pPr>
      <w:r>
        <w:t xml:space="preserve">Fabricante</w:t>
      </w:r>
    </w:p>
    <w:p>
      <w:pPr>
        <w:numPr>
          <w:ilvl w:val="0"/>
          <w:numId w:val="1015"/>
        </w:numPr>
        <w:pStyle w:val="Compact"/>
      </w:pPr>
      <w:r>
        <w:t xml:space="preserve">Proveedor de soporte externo</w:t>
      </w:r>
    </w:p>
    <w:p>
      <w:pPr>
        <w:numPr>
          <w:ilvl w:val="0"/>
          <w:numId w:val="1015"/>
        </w:numPr>
        <w:pStyle w:val="Compact"/>
      </w:pPr>
      <w:r>
        <w:t xml:space="preserve">Fecha de vigencia de soporte externo</w:t>
      </w:r>
    </w:p>
    <w:p>
      <w:pPr>
        <w:numPr>
          <w:ilvl w:val="0"/>
          <w:numId w:val="1015"/>
        </w:numPr>
        <w:pStyle w:val="Compact"/>
      </w:pPr>
      <w:r>
        <w:t xml:space="preserve">Nombre de servidor. Nombre de red del entorno o nodo contenedor de la aplicación de software.</w:t>
      </w:r>
    </w:p>
    <w:p>
      <w:pPr>
        <w:numPr>
          <w:ilvl w:val="0"/>
          <w:numId w:val="1015"/>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6"/>
        </w:numPr>
        <w:pStyle w:val="Compact"/>
      </w:pPr>
      <w:r>
        <w:t xml:space="preserve">Unifica la documentación y la comunicación: es un artefacto clave para documentar, comprender y comunicar el panorama actual y futuro de las aplicaciones.</w:t>
      </w:r>
    </w:p>
    <w:p>
      <w:pPr>
        <w:numPr>
          <w:ilvl w:val="0"/>
          <w:numId w:val="1016"/>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6"/>
        </w:numPr>
        <w:pStyle w:val="Compact"/>
      </w:pPr>
      <w:r>
        <w:t xml:space="preserve">Facilita la actualización continua: permite la actualización continua de las características y atributos relevantes de los sistemas de información.</w:t>
      </w:r>
    </w:p>
    <w:bookmarkEnd w:id="28"/>
    <w:bookmarkEnd w:id="29"/>
    <w:bookmarkStart w:id="30"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30"/>
    <w:bookmarkStart w:id="33"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1"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7"/>
        </w:numPr>
        <w:pStyle w:val="Compact"/>
      </w:pPr>
      <w:r>
        <w:t xml:space="preserve">Impulsar la transformación digital para alinear estrategias, procesos y tecnologías, que resulte en el aumento de eficiencia de la gestión pública.</w:t>
      </w:r>
    </w:p>
    <w:p>
      <w:pPr>
        <w:numPr>
          <w:ilvl w:val="0"/>
          <w:numId w:val="1017"/>
        </w:numPr>
        <w:pStyle w:val="Compact"/>
      </w:pPr>
      <w:r>
        <w:t xml:space="preserve">Cerrar las brechas en la Política de Gobierno Digital, de la cual la Arquitectura Empresarial es un habilitador clave.</w:t>
      </w:r>
    </w:p>
    <w:p>
      <w:pPr>
        <w:numPr>
          <w:ilvl w:val="0"/>
          <w:numId w:val="1017"/>
        </w:numPr>
        <w:pStyle w:val="Compact"/>
      </w:pPr>
      <w:r>
        <w:t xml:space="preserve">Modernizar la infraestructura tecnológica que resulte del análisis de obsolescencia para asegurar su continuidad y disponibilidad.</w:t>
      </w:r>
    </w:p>
    <w:p>
      <w:pPr>
        <w:numPr>
          <w:ilvl w:val="0"/>
          <w:numId w:val="1017"/>
        </w:numPr>
        <w:pStyle w:val="Compact"/>
      </w:pPr>
      <w:r>
        <w:t xml:space="preserve">Integrar plataformas y ecosistemas digitales y superar la falta de interoperabilidad.</w:t>
      </w:r>
    </w:p>
    <w:p>
      <w:pPr>
        <w:numPr>
          <w:ilvl w:val="0"/>
          <w:numId w:val="1017"/>
        </w:numPr>
        <w:pStyle w:val="Compact"/>
      </w:pPr>
      <w:r>
        <w:t xml:space="preserve">Aumentar la automatización de los trámites digitales.</w:t>
      </w:r>
    </w:p>
    <w:p>
      <w:pPr>
        <w:numPr>
          <w:ilvl w:val="0"/>
          <w:numId w:val="1017"/>
        </w:numPr>
        <w:pStyle w:val="Compact"/>
      </w:pPr>
      <w:r>
        <w:t xml:space="preserve">Estandarizar la gestión y gobernanza de datos públicos.</w:t>
      </w:r>
    </w:p>
    <w:p>
      <w:pPr>
        <w:numPr>
          <w:ilvl w:val="0"/>
          <w:numId w:val="1017"/>
        </w:numPr>
        <w:pStyle w:val="Compact"/>
      </w:pPr>
      <w:r>
        <w:t xml:space="preserve">Mejorar el soporte que los sistemas de información (SI) dan a la toma de decisiones basada en evidencia.</w:t>
      </w:r>
    </w:p>
    <w:p>
      <w:pPr>
        <w:numPr>
          <w:ilvl w:val="0"/>
          <w:numId w:val="1017"/>
        </w:numPr>
        <w:pStyle w:val="Compact"/>
      </w:pPr>
      <w:r>
        <w:t xml:space="preserve">Generar análisis predictivos y prospectivos de resultados de gestión, que son insumos para la toma de decisiones.</w:t>
      </w:r>
    </w:p>
    <w:p>
      <w:pPr>
        <w:numPr>
          <w:ilvl w:val="0"/>
          <w:numId w:val="1017"/>
        </w:numPr>
        <w:pStyle w:val="Compact"/>
      </w:pPr>
      <w:r>
        <w:t xml:space="preserve">Contar con disponibilidad de personal adecuado para actualizar plataformas tecnológicas y gestionar las cargas de trabajo.</w:t>
      </w:r>
    </w:p>
    <w:p>
      <w:pPr>
        <w:numPr>
          <w:ilvl w:val="0"/>
          <w:numId w:val="1017"/>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7"/>
        </w:numPr>
        <w:pStyle w:val="Compact"/>
      </w:pPr>
      <w:r>
        <w:t xml:space="preserve">Fortalecer la ciberseguridad y seguridad de la información para proteger la integridad, disponibilidad y confidencialidad de los datos y prevenir ataques.</w:t>
      </w:r>
    </w:p>
    <w:bookmarkEnd w:id="31"/>
    <w:bookmarkStart w:id="32" w:name="X8802c049ea400d3d70651c8308bf546442a890e"/>
    <w:p>
      <w:pPr>
        <w:pStyle w:val="Heading4"/>
      </w:pPr>
      <w:r>
        <w:t xml:space="preserve">Necesidades Específicas del Dominio de Sistemas de Información la SG</w:t>
      </w:r>
    </w:p>
    <w:p>
      <w:pPr>
        <w:pStyle w:val="FirstParagraph"/>
      </w:pPr>
      <w:r>
        <w:t xml:space="preserve">Esta tipo de necesidades refiere al comportamiento de las aplicaciones que apoyan la misionalidad de la SG.</w:t>
      </w:r>
    </w:p>
    <w:p>
      <w:pPr>
        <w:pStyle w:val="BodyText"/>
      </w:pPr>
      <w:r>
        <w:t xml:space="preserve">Para las aplicaciones de software y sistemas de información de la SG:</w:t>
      </w:r>
    </w:p>
    <w:p>
      <w:pPr>
        <w:numPr>
          <w:ilvl w:val="0"/>
          <w:numId w:val="1018"/>
        </w:numPr>
        <w:pStyle w:val="Compact"/>
      </w:pPr>
      <w:r>
        <w:t xml:space="preserve">Adquirir software especializado en análisis de datos: implica la necesidad de incorporar de nuevos componentes de aplicación (Application Component).</w:t>
      </w:r>
    </w:p>
    <w:p>
      <w:pPr>
        <w:numPr>
          <w:ilvl w:val="0"/>
          <w:numId w:val="1018"/>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8"/>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2"/>
    <w:bookmarkEnd w:id="33"/>
    <w:bookmarkStart w:id="34"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9"/>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9"/>
        </w:numPr>
        <w:pStyle w:val="Compact"/>
      </w:pPr>
      <w:r>
        <w:t xml:space="preserve">Equipos tecnológicos y aplicaciones de software en potencial obsolescencia, que generan dificultad en la ejecución de las actividades que desarrolla la entidad.</w:t>
      </w:r>
    </w:p>
    <w:p>
      <w:pPr>
        <w:numPr>
          <w:ilvl w:val="0"/>
          <w:numId w:val="1019"/>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9"/>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9"/>
        </w:numPr>
        <w:pStyle w:val="Compact"/>
      </w:pPr>
      <w:r>
        <w:t xml:space="preserve">Debilidad en la capacidad de extraer información dinámica que sirva como insumo para la toma de decisiones basado en evidencia.</w:t>
      </w:r>
    </w:p>
    <w:p>
      <w:pPr>
        <w:numPr>
          <w:ilvl w:val="0"/>
          <w:numId w:val="1019"/>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9"/>
        </w:numPr>
        <w:pStyle w:val="Compact"/>
      </w:pPr>
      <w:r>
        <w:t xml:space="preserve">Falta de personal para actualizar las plataformas tecnológicas, lo que genera retrasos en la operación de la entidad.</w:t>
      </w:r>
    </w:p>
    <w:p>
      <w:pPr>
        <w:numPr>
          <w:ilvl w:val="0"/>
          <w:numId w:val="1019"/>
        </w:numPr>
        <w:pStyle w:val="Compact"/>
      </w:pPr>
      <w:r>
        <w:t xml:space="preserve">Deficiente conectividad y falta de interoperabilidad de las plataformas tecnológicas.</w:t>
      </w:r>
    </w:p>
    <w:p>
      <w:pPr>
        <w:numPr>
          <w:ilvl w:val="0"/>
          <w:numId w:val="1019"/>
        </w:numPr>
        <w:pStyle w:val="Compact"/>
      </w:pPr>
      <w:r>
        <w:t xml:space="preserve">Cambios en las plataformas tecnológicas que no interactúan con las anteriores, lo cual expone a la SG a posibles pérdidas de información y reprocesos.</w:t>
      </w:r>
    </w:p>
    <w:p>
      <w:pPr>
        <w:numPr>
          <w:ilvl w:val="0"/>
          <w:numId w:val="1019"/>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4"/>
    <w:bookmarkStart w:id="35"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Las oportunidades tecnológicas y de mejora de sistemas de información mencionadas indicadas en estas fuentes se centran en:</w:t>
      </w:r>
    </w:p>
    <w:p>
      <w:pPr>
        <w:numPr>
          <w:ilvl w:val="0"/>
          <w:numId w:val="1020"/>
        </w:numPr>
        <w:pStyle w:val="Compact"/>
      </w:pPr>
      <w:r>
        <w:t xml:space="preserve">Modernización de la infraestructura y sistemas tecnológicos</w:t>
      </w:r>
    </w:p>
    <w:p>
      <w:pPr>
        <w:numPr>
          <w:ilvl w:val="1"/>
          <w:numId w:val="1021"/>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1"/>
        </w:numPr>
        <w:pStyle w:val="Compact"/>
      </w:pPr>
      <w:r>
        <w:t xml:space="preserve">Una oportunidad es la adquisición y puesta en producción de software especializado en análisis de datos para la toma de decisiones que ya poseen otras entidades.</w:t>
      </w:r>
    </w:p>
    <w:p>
      <w:pPr>
        <w:numPr>
          <w:ilvl w:val="0"/>
          <w:numId w:val="1020"/>
        </w:numPr>
        <w:pStyle w:val="Compact"/>
      </w:pPr>
      <w:r>
        <w:t xml:space="preserve">Integración y automatización de procesos</w:t>
      </w:r>
    </w:p>
    <w:p>
      <w:pPr>
        <w:numPr>
          <w:ilvl w:val="1"/>
          <w:numId w:val="1022"/>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2"/>
        </w:numPr>
        <w:pStyle w:val="Compact"/>
      </w:pPr>
      <w:r>
        <w:t xml:space="preserve">Se buscan mejores controles e integración de sistemas distritales con los canales de la Secretaría General.</w:t>
      </w:r>
    </w:p>
    <w:p>
      <w:pPr>
        <w:numPr>
          <w:ilvl w:val="1"/>
          <w:numId w:val="1022"/>
        </w:numPr>
        <w:pStyle w:val="Compact"/>
      </w:pPr>
      <w:r>
        <w:t xml:space="preserve">También se necesitan mejores controles e integración de los sistemas de gestión como los sistemas GLOBO (de gestión internacional), el sistema de proyectos GLPI.</w:t>
      </w:r>
    </w:p>
    <w:p>
      <w:pPr>
        <w:numPr>
          <w:ilvl w:val="0"/>
          <w:numId w:val="1020"/>
        </w:numPr>
        <w:pStyle w:val="Compact"/>
      </w:pPr>
      <w:r>
        <w:t xml:space="preserve">Mejora de la comunicación pública a través de medios digitales</w:t>
      </w:r>
    </w:p>
    <w:p>
      <w:pPr>
        <w:numPr>
          <w:ilvl w:val="1"/>
          <w:numId w:val="1023"/>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3"/>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3"/>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3"/>
        </w:numPr>
        <w:pStyle w:val="Compact"/>
      </w:pPr>
      <w:r>
        <w:t xml:space="preserve">Implementación de la Arquitectura Empresarial como estrategia para impulsar la transformación digital y la eficiencia en la gestión pública de la SG</w:t>
      </w:r>
    </w:p>
    <w:p>
      <w:pPr>
        <w:numPr>
          <w:ilvl w:val="1"/>
          <w:numId w:val="1023"/>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3"/>
        </w:numPr>
        <w:pStyle w:val="Compact"/>
      </w:pPr>
      <w:r>
        <w:t xml:space="preserve">Es requerido que este ejercicio beneficie a la SG con la entrega de activos como hojas de ruta, catálogos y caracterización de los sistemas de información, matrices de interacción, entre otros.</w:t>
      </w:r>
    </w:p>
    <w:bookmarkEnd w:id="35"/>
    <w:bookmarkStart w:id="36"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4"/>
        </w:numPr>
        <w:pStyle w:val="Compact"/>
      </w:pPr>
      <w:r>
        <w:t xml:space="preserve">Sistemas de Información y Datos:</w:t>
      </w:r>
    </w:p>
    <w:p>
      <w:pPr>
        <w:numPr>
          <w:ilvl w:val="1"/>
          <w:numId w:val="1025"/>
        </w:numPr>
        <w:pStyle w:val="Compact"/>
      </w:pPr>
      <w:r>
        <w:t xml:space="preserve">Fallas recurrentes en el funcionamiento de los sistemas de información y plataformas tecnológicas, que afectan la continuidad del servicio y generan retrasos y reprocesos.</w:t>
      </w:r>
    </w:p>
    <w:p>
      <w:pPr>
        <w:numPr>
          <w:ilvl w:val="1"/>
          <w:numId w:val="1025"/>
        </w:numPr>
        <w:pStyle w:val="Compact"/>
      </w:pPr>
      <w:r>
        <w:t xml:space="preserve">Falta de un sistema de información dedicado a la información dinámica para la toma de decisiones.</w:t>
      </w:r>
    </w:p>
    <w:p>
      <w:pPr>
        <w:numPr>
          <w:ilvl w:val="1"/>
          <w:numId w:val="1025"/>
        </w:numPr>
        <w:pStyle w:val="Compact"/>
      </w:pPr>
      <w:r>
        <w:t xml:space="preserve">Se realizan análisis descriptivos, pero no predictivos y prospectivos de los resultados de la gestión, dificultando la toma de decisiones basada en evidencia.</w:t>
      </w:r>
    </w:p>
    <w:p>
      <w:pPr>
        <w:numPr>
          <w:ilvl w:val="1"/>
          <w:numId w:val="1025"/>
        </w:numPr>
        <w:pStyle w:val="Compact"/>
      </w:pPr>
      <w:r>
        <w:t xml:space="preserve">Cambios en las plataformas tecnológicas que no interactúan con las anteriores, con impacto en pérdida de información y reprocesos.</w:t>
      </w:r>
    </w:p>
    <w:p>
      <w:pPr>
        <w:numPr>
          <w:ilvl w:val="0"/>
          <w:numId w:val="1024"/>
        </w:numPr>
        <w:pStyle w:val="Compact"/>
      </w:pPr>
      <w:r>
        <w:t xml:space="preserve">Infraestructura Tecnológica:</w:t>
      </w:r>
    </w:p>
    <w:p>
      <w:pPr>
        <w:numPr>
          <w:ilvl w:val="1"/>
          <w:numId w:val="1026"/>
        </w:numPr>
        <w:pStyle w:val="Compact"/>
      </w:pPr>
      <w:r>
        <w:t xml:space="preserve">Equipos tecnológicos obsoletos que dificultan la ejecución de las actividades.</w:t>
      </w:r>
    </w:p>
    <w:p>
      <w:pPr>
        <w:numPr>
          <w:ilvl w:val="1"/>
          <w:numId w:val="1026"/>
        </w:numPr>
        <w:pStyle w:val="Compact"/>
      </w:pPr>
      <w:r>
        <w:t xml:space="preserve">Deficiente conectividad y falta de interoperabilidad de las plataformas tecnológicas.</w:t>
      </w:r>
    </w:p>
    <w:p>
      <w:pPr>
        <w:numPr>
          <w:ilvl w:val="1"/>
          <w:numId w:val="1026"/>
        </w:numPr>
        <w:pStyle w:val="Compact"/>
      </w:pPr>
      <w:r>
        <w:t xml:space="preserve">Inestabilidad de la conectividad e indisponibilidad de servidores de información, comprometiendo la operatividad y el cumplimiento de metas.</w:t>
      </w:r>
    </w:p>
    <w:p>
      <w:pPr>
        <w:numPr>
          <w:ilvl w:val="1"/>
          <w:numId w:val="1026"/>
        </w:numPr>
        <w:pStyle w:val="Compact"/>
      </w:pPr>
      <w:r>
        <w:t xml:space="preserve">Obsolescencia tecnológica generalizada que implica la necesidad de renovación de equipos y dificulta la prestación de servicios.</w:t>
      </w:r>
    </w:p>
    <w:p>
      <w:pPr>
        <w:numPr>
          <w:ilvl w:val="1"/>
          <w:numId w:val="1026"/>
        </w:numPr>
        <w:pStyle w:val="Compact"/>
      </w:pPr>
      <w:r>
        <w:t xml:space="preserve">Los altos costos de la tecnología pueden limitar la capacidad para implementar y mantener sistemas avanzados.</w:t>
      </w:r>
    </w:p>
    <w:p>
      <w:pPr>
        <w:numPr>
          <w:ilvl w:val="0"/>
          <w:numId w:val="1024"/>
        </w:numPr>
        <w:pStyle w:val="Compact"/>
      </w:pPr>
      <w:r>
        <w:t xml:space="preserve">Seguridad Informática:</w:t>
      </w:r>
    </w:p>
    <w:p>
      <w:pPr>
        <w:numPr>
          <w:ilvl w:val="1"/>
          <w:numId w:val="1027"/>
        </w:numPr>
        <w:pStyle w:val="Compact"/>
      </w:pPr>
      <w:r>
        <w:t xml:space="preserve">Vulnerabilidad en la seguridad informática, que puede comprometer la integridad de los datos críticos y la continuidad operativa.</w:t>
      </w:r>
    </w:p>
    <w:p>
      <w:pPr>
        <w:numPr>
          <w:ilvl w:val="1"/>
          <w:numId w:val="1027"/>
        </w:numPr>
        <w:pStyle w:val="Compact"/>
      </w:pPr>
      <w:r>
        <w:t xml:space="preserve">Vulneración de la inviolabilidad de acceso a cuentas de correo institucionales y aplicativos, afectando la reserva de la información.</w:t>
      </w:r>
    </w:p>
    <w:p>
      <w:pPr>
        <w:numPr>
          <w:ilvl w:val="1"/>
          <w:numId w:val="1027"/>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4"/>
        </w:numPr>
        <w:pStyle w:val="Compact"/>
      </w:pPr>
      <w:r>
        <w:t xml:space="preserve">Gestión del Conocimiento y Capacidades Humanas:</w:t>
      </w:r>
    </w:p>
    <w:p>
      <w:pPr>
        <w:numPr>
          <w:ilvl w:val="1"/>
          <w:numId w:val="1028"/>
        </w:numPr>
        <w:pStyle w:val="Compact"/>
      </w:pPr>
      <w:r>
        <w:t xml:space="preserve">Deficiente apropiación del conocimiento en procesos de tecnologías de la información, generando demora en la solución de servicios.</w:t>
      </w:r>
    </w:p>
    <w:p>
      <w:pPr>
        <w:numPr>
          <w:ilvl w:val="1"/>
          <w:numId w:val="1028"/>
        </w:numPr>
        <w:pStyle w:val="Compact"/>
      </w:pPr>
      <w:r>
        <w:t xml:space="preserve">Falta de personal para actualizar las plataformas tecnológicas, lo que genera retrasos en la operación.</w:t>
      </w:r>
    </w:p>
    <w:bookmarkEnd w:id="36"/>
    <w:bookmarkStart w:id="37"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9"/>
        </w:numPr>
        <w:pStyle w:val="Compact"/>
      </w:pPr>
      <w:r>
        <w:t xml:space="preserve">Propósito y Alcance de la AE:</w:t>
      </w:r>
    </w:p>
    <w:p>
      <w:pPr>
        <w:numPr>
          <w:ilvl w:val="1"/>
          <w:numId w:val="1030"/>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30"/>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30"/>
        </w:numPr>
        <w:pStyle w:val="Compact"/>
      </w:pPr>
      <w:r>
        <w:t xml:space="preserve">La AE es una práctica estratégica que impulsa las transformaciones necesarias para fortalecer la gestión de las entidades y alcanzar sus objetivos [20].</w:t>
      </w:r>
    </w:p>
    <w:p>
      <w:pPr>
        <w:numPr>
          <w:ilvl w:val="0"/>
          <w:numId w:val="1029"/>
        </w:numPr>
        <w:pStyle w:val="Compact"/>
      </w:pPr>
      <w:r>
        <w:t xml:space="preserve">Dominios Clave que aborda la AE:</w:t>
      </w:r>
    </w:p>
    <w:p>
      <w:pPr>
        <w:numPr>
          <w:ilvl w:val="1"/>
          <w:numId w:val="1031"/>
        </w:numPr>
        <w:pStyle w:val="Compact"/>
      </w:pPr>
      <w:r>
        <w:t xml:space="preserve">Arquitectura Institucional: Modelo de capacidades, modelo operativo y catálogo de servicios institucionales [21].</w:t>
      </w:r>
    </w:p>
    <w:p>
      <w:pPr>
        <w:numPr>
          <w:ilvl w:val="1"/>
          <w:numId w:val="1031"/>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1"/>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1"/>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1"/>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7"/>
    <w:bookmarkEnd w:id="38"/>
    <w:bookmarkStart w:id="46"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32"/>
        </w:numPr>
        <w:pStyle w:val="Compact"/>
      </w:pPr>
      <w:r>
        <w:t xml:space="preserve">Sistemas de gestión administrativa y financiera (ADMON, Administrativo y Financiero, SIGA, SAT Web, GLPI):</w:t>
      </w:r>
    </w:p>
    <w:p>
      <w:pPr>
        <w:numPr>
          <w:ilvl w:val="1"/>
          <w:numId w:val="1033"/>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3"/>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3"/>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3"/>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2"/>
        </w:numPr>
        <w:pStyle w:val="Compact"/>
      </w:pPr>
      <w:r>
        <w:t xml:space="preserve">Sistemas de interacción ciudadana y transparencia (Bogotá Te Escucha, Datos para la Transparencia (SATI), EMLAZE):</w:t>
      </w:r>
    </w:p>
    <w:p>
      <w:pPr>
        <w:numPr>
          <w:ilvl w:val="1"/>
          <w:numId w:val="1034"/>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4"/>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4"/>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4"/>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2"/>
        </w:numPr>
        <w:pStyle w:val="Compact"/>
      </w:pPr>
      <w:r>
        <w:t xml:space="preserve">Sistemas de fortalecimiento de capacidades y conocimiento (Bogotá Aprende TIC, DARUMA, GLOBO, SUDIVC, HUMANAPP, SIAB (El COFRE), KOHA, SIVIC, Data Warehouse AVANTI, Gestión Académica):</w:t>
      </w:r>
    </w:p>
    <w:bookmarkStart w:id="39" w:name="sec:relación-con-objetivos"/>
    <w:p>
      <w:pPr>
        <w:pStyle w:val="Heading4"/>
      </w:pPr>
      <w:r>
        <w:t xml:space="preserve">Relación con Objetivos</w:t>
      </w:r>
    </w:p>
    <w:p>
      <w:pPr>
        <w:numPr>
          <w:ilvl w:val="0"/>
          <w:numId w:val="1035"/>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5"/>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5"/>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5"/>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5"/>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9"/>
    <w:bookmarkStart w:id="43" w:name="sec:relación-con-oportunidades"/>
    <w:p>
      <w:pPr>
        <w:pStyle w:val="Heading4"/>
      </w:pPr>
      <w:r>
        <w:t xml:space="preserve">Relación con Oportunidades</w:t>
      </w:r>
    </w:p>
    <w:p>
      <w:pPr>
        <w:numPr>
          <w:ilvl w:val="0"/>
          <w:numId w:val="1036"/>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p>
    <w:p>
      <w:pPr>
        <w:numPr>
          <w:ilvl w:val="0"/>
          <w:numId w:val="1036"/>
        </w:numPr>
        <w:pStyle w:val="Compact"/>
      </w:pPr>
      <w:r>
        <w:t xml:space="preserve">OPORT2. (Resumen Ejecutivo FASE I.pdf) menciona a Bogotá como una ciudad con</w:t>
      </w:r>
      <w:r>
        <w:t xml:space="preserve"> </w:t>
      </w:r>
      <w:r>
        <w:t xml:space="preserve">“</w:t>
      </w:r>
      <w:r>
        <w:t xml:space="preserve">vocación internacional, atractiva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p>
    <w:p>
      <w:pPr>
        <w:numPr>
          <w:ilvl w:val="0"/>
          <w:numId w:val="1036"/>
        </w:numPr>
        <w:pStyle w:val="Compact"/>
      </w:pPr>
      <w:r>
        <w:t xml:space="preserve">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365331"/>
            <wp:effectExtent b="0" l="0" r="0" t="0"/>
            <wp:docPr descr="06.2n2.1a. SI del Analisis de Entorno. Fuente: Elaboración propia con información del equipo servicios tecnológicos de la OTIC" title="" id="41" name="Picture"/>
            <a:graphic>
              <a:graphicData uri="http://schemas.openxmlformats.org/drawingml/2006/picture">
                <pic:pic>
                  <pic:nvPicPr>
                    <pic:cNvPr descr="images/06.2n2.1a.SIdelAnalisisdeEntorno.png" id="42" name="Picture"/>
                    <pic:cNvPicPr>
                      <a:picLocks noChangeArrowheads="1" noChangeAspect="1"/>
                    </pic:cNvPicPr>
                  </pic:nvPicPr>
                  <pic:blipFill>
                    <a:blip r:embed="rId40"/>
                    <a:stretch>
                      <a:fillRect/>
                    </a:stretch>
                  </pic:blipFill>
                  <pic:spPr bwMode="auto">
                    <a:xfrm>
                      <a:off x="0" y="0"/>
                      <a:ext cx="5943600" cy="6365331"/>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3"/>
    <w:bookmarkStart w:id="45" w:name="sec:elementos-del-modelo"/>
    <w:p>
      <w:pPr>
        <w:pStyle w:val="Heading3"/>
      </w:pPr>
      <w:r>
        <w:t xml:space="preserve">Elementos del Modelo</w:t>
      </w:r>
    </w:p>
    <w:bookmarkStart w:id="44" w:name="Xccd0d3ffc1afbf43d4fbb04b56420c55d37dadd"/>
    <w:p>
      <w:pPr>
        <w:pStyle w:val="TableCaption"/>
      </w:pPr>
      <w:r>
        <w:rPr>
          <w:iCs/>
          <w:i/>
        </w:rPr>
        <w:t xml:space="preserve">Tabla 1</w:t>
      </w:r>
      <w:r>
        <w:t xml:space="preserve">: Elementos de la vista.</w:t>
      </w:r>
    </w:p>
    <w:tbl>
      <w:tblPr>
        <w:tblStyle w:val="Table"/>
        <w:tblW w:type="pct" w:w="5000"/>
        <w:tblLook w:firstRow="1" w:lastRow="0" w:firstColumn="0" w:lastColumn="0" w:noHBand="0" w:noVBand="0" w:val="0020"/>
        <w:jc w:val="start"/>
        <w:tblLayout w:type="fixed"/>
        <w:tblCaption w:val="Tabla 1: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REGALIAS)Registro y control de la información contractual de la Secretaría General (CONTRACTUAL)Sistema para manejo de contratos con presupuesto de regalías (CONTRACTUAL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4233100-CR-033 Gestión de servicios</w:t>
            </w:r>
          </w:p>
        </w:tc>
        <w:tc>
          <w:tcPr/>
          <w:p>
            <w:pPr>
              <w:pStyle w:val="Compact"/>
              <w:jc w:val="left"/>
            </w:pPr>
            <w:r>
              <w:t xml:space="preserve">Artifact</w:t>
            </w:r>
          </w:p>
        </w:tc>
        <w:tc>
          <w:tcPr/>
          <w:p>
            <w:pPr>
              <w:pStyle w:val="Compact"/>
              <w:jc w:val="left"/>
            </w:pPr>
            <w:r>
              <w:t xml:space="preserve">4233100-CR-033 Gestión de servicios administrativos y tecnológicos.</w:t>
            </w:r>
          </w:p>
        </w:tc>
      </w:tr>
      <w:tr>
        <w:tc>
          <w:tcPr/>
          <w:p>
            <w:pPr>
              <w:pStyle w:val="Compact"/>
            </w:pPr>
          </w:p>
        </w:tc>
        <w:tc>
          <w:tcPr/>
          <w:p>
            <w:pPr>
              <w:pStyle w:val="Compact"/>
            </w:pPr>
          </w:p>
        </w:tc>
        <w:tc>
          <w:tcPr/>
          <w:p>
            <w:pPr>
              <w:pStyle w:val="Compact"/>
            </w:pPr>
          </w:p>
        </w:tc>
      </w:tr>
      <w:tr>
        <w:tc>
          <w:tcPr/>
          <w:p>
            <w:pPr>
              <w:pStyle w:val="Compact"/>
              <w:jc w:val="left"/>
            </w:pPr>
            <w:r>
              <w:t xml:space="preserve">2213200-PR-101 Gestión de Incidentes</w:t>
            </w:r>
          </w:p>
        </w:tc>
        <w:tc>
          <w:tcPr/>
          <w:p>
            <w:pPr>
              <w:pStyle w:val="Compact"/>
              <w:jc w:val="left"/>
            </w:pPr>
            <w:r>
              <w:t xml:space="preserve">Artifact</w:t>
            </w:r>
          </w:p>
        </w:tc>
        <w:tc>
          <w:tcPr/>
          <w:p>
            <w:pPr>
              <w:pStyle w:val="Compact"/>
              <w:jc w:val="left"/>
            </w:pPr>
            <w:r>
              <w:t xml:space="preserve">2213200-PR-101 Gestión de Incidentes, Requerimientos y Problemas Tecnológicos.</w:t>
            </w:r>
          </w:p>
        </w:tc>
      </w:tr>
      <w:tr>
        <w:tc>
          <w:tcPr/>
          <w:p>
            <w:pPr>
              <w:pStyle w:val="Compact"/>
            </w:pPr>
          </w:p>
        </w:tc>
        <w:tc>
          <w:tcPr/>
          <w:p>
            <w:pPr>
              <w:pStyle w:val="Compact"/>
            </w:pPr>
          </w:p>
        </w:tc>
        <w:tc>
          <w:tcPr/>
          <w:p>
            <w:pPr>
              <w:pStyle w:val="Compact"/>
            </w:pPr>
          </w:p>
        </w:tc>
      </w:tr>
      <w:tr>
        <w:tc>
          <w:tcPr/>
          <w:p>
            <w:pPr>
              <w:pStyle w:val="Compact"/>
              <w:jc w:val="left"/>
            </w:pPr>
            <w:r>
              <w:t xml:space="preserve">4204000-PR-106 Desarrollo de soluciones</w:t>
            </w:r>
          </w:p>
        </w:tc>
        <w:tc>
          <w:tcPr/>
          <w:p>
            <w:pPr>
              <w:pStyle w:val="Compact"/>
              <w:jc w:val="left"/>
            </w:pPr>
            <w:r>
              <w:t xml:space="preserve">Artifact</w:t>
            </w:r>
          </w:p>
        </w:tc>
        <w:tc>
          <w:tcPr/>
          <w:p>
            <w:pPr>
              <w:pStyle w:val="Compact"/>
              <w:jc w:val="left"/>
            </w:pPr>
            <w:r>
              <w:t xml:space="preserve">4204000-PR-106 Desarrollo de soluciones.</w:t>
            </w:r>
          </w:p>
        </w:tc>
      </w:tr>
      <w:tr>
        <w:tc>
          <w:tcPr/>
          <w:p>
            <w:pPr>
              <w:pStyle w:val="Compact"/>
            </w:pPr>
          </w:p>
        </w:tc>
        <w:tc>
          <w:tcPr/>
          <w:p>
            <w:pPr>
              <w:pStyle w:val="Compact"/>
            </w:pPr>
          </w:p>
        </w:tc>
        <w:tc>
          <w:tcPr/>
          <w:p>
            <w:pPr>
              <w:pStyle w:val="Compact"/>
            </w:pPr>
          </w:p>
        </w:tc>
      </w:tr>
      <w:tr>
        <w:tc>
          <w:tcPr/>
          <w:p>
            <w:pPr>
              <w:pStyle w:val="Compact"/>
              <w:jc w:val="left"/>
            </w:pPr>
            <w:r>
              <w:t xml:space="preserve">4204000-GS-110 Metodología gestión proyectos TI</w:t>
            </w:r>
          </w:p>
        </w:tc>
        <w:tc>
          <w:tcPr/>
          <w:p>
            <w:pPr>
              <w:pStyle w:val="Compact"/>
              <w:jc w:val="left"/>
            </w:pPr>
            <w:r>
              <w:t xml:space="preserve">Artifact</w:t>
            </w:r>
          </w:p>
        </w:tc>
        <w:tc>
          <w:tcPr/>
          <w:p>
            <w:pPr>
              <w:pStyle w:val="Compact"/>
              <w:jc w:val="left"/>
            </w:pPr>
            <w:r>
              <w:t xml:space="preserve">4204000-GS-110 Metodología gestión proyectos TI.</w:t>
            </w:r>
          </w:p>
        </w:tc>
      </w:tr>
      <w:tr>
        <w:tc>
          <w:tcPr/>
          <w:p>
            <w:pPr>
              <w:pStyle w:val="Compact"/>
            </w:pPr>
          </w:p>
        </w:tc>
        <w:tc>
          <w:tcPr/>
          <w:p>
            <w:pPr>
              <w:pStyle w:val="Compact"/>
            </w:pPr>
          </w:p>
        </w:tc>
        <w:tc>
          <w:tcPr/>
          <w:p>
            <w:pPr>
              <w:pStyle w:val="Compact"/>
            </w:pP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4204000-GS-006 Guía de Arquitectura</w:t>
            </w:r>
          </w:p>
        </w:tc>
        <w:tc>
          <w:tcPr/>
          <w:p>
            <w:pPr>
              <w:pStyle w:val="Compact"/>
              <w:jc w:val="left"/>
            </w:pPr>
            <w:r>
              <w:t xml:space="preserve">Artifact</w:t>
            </w:r>
          </w:p>
        </w:tc>
        <w:tc>
          <w:tcPr/>
          <w:p>
            <w:pPr>
              <w:pStyle w:val="Compact"/>
              <w:jc w:val="left"/>
            </w:pPr>
            <w:r>
              <w:t xml:space="preserve">4204000-GS-006 Guía de Arquitectura de Software para Soluciones Tecnológicas.</w:t>
            </w:r>
          </w:p>
        </w:tc>
      </w:tr>
      <w:tr>
        <w:tc>
          <w:tcPr/>
          <w:p>
            <w:pPr>
              <w:pStyle w:val="Compact"/>
            </w:pPr>
          </w:p>
        </w:tc>
        <w:tc>
          <w:tcPr/>
          <w:p>
            <w:pPr>
              <w:pStyle w:val="Compact"/>
            </w:pPr>
          </w:p>
        </w:tc>
        <w:tc>
          <w:tcPr/>
          <w:p>
            <w:pPr>
              <w:pStyle w:val="Compact"/>
            </w:pPr>
          </w:p>
        </w:tc>
      </w:tr>
      <w:tr>
        <w:tc>
          <w:tcPr/>
          <w:p>
            <w:pPr>
              <w:pStyle w:val="Compact"/>
              <w:jc w:val="left"/>
            </w:pPr>
            <w:r>
              <w:t xml:space="preserve">4204000-OT-047 Estándares nomenclatura</w:t>
            </w:r>
          </w:p>
        </w:tc>
        <w:tc>
          <w:tcPr/>
          <w:p>
            <w:pPr>
              <w:pStyle w:val="Compact"/>
              <w:jc w:val="left"/>
            </w:pPr>
            <w:r>
              <w:t xml:space="preserve">Artifact</w:t>
            </w:r>
          </w:p>
        </w:tc>
        <w:tc>
          <w:tcPr/>
          <w:p>
            <w:pPr>
              <w:pStyle w:val="Compact"/>
              <w:jc w:val="left"/>
            </w:pPr>
            <w:r>
              <w:t xml:space="preserve">4204000-OT-047 Estándares de nomenclatura para el desarrollo de aplicaciones en ambientes de bases de datos.</w:t>
            </w:r>
          </w:p>
        </w:tc>
      </w:tr>
      <w:tr>
        <w:tc>
          <w:tcPr/>
          <w:p>
            <w:pPr>
              <w:pStyle w:val="Compact"/>
            </w:pPr>
          </w:p>
        </w:tc>
        <w:tc>
          <w:tcPr/>
          <w:p>
            <w:pPr>
              <w:pStyle w:val="Compact"/>
            </w:pPr>
          </w:p>
        </w:tc>
        <w:tc>
          <w:tcPr/>
          <w:p>
            <w:pPr>
              <w:pStyle w:val="Compact"/>
            </w:pPr>
          </w:p>
        </w:tc>
      </w:tr>
      <w:tr>
        <w:tc>
          <w:tcPr/>
          <w:p>
            <w:pPr>
              <w:pStyle w:val="Compact"/>
              <w:jc w:val="left"/>
            </w:pPr>
            <w:r>
              <w:t xml:space="preserve">4204000-GS-108 Guía desarrollo y mantenimiento</w:t>
            </w:r>
          </w:p>
        </w:tc>
        <w:tc>
          <w:tcPr/>
          <w:p>
            <w:pPr>
              <w:pStyle w:val="Compact"/>
              <w:jc w:val="left"/>
            </w:pPr>
            <w:r>
              <w:t xml:space="preserve">Artifact</w:t>
            </w:r>
          </w:p>
        </w:tc>
        <w:tc>
          <w:tcPr/>
          <w:p>
            <w:pPr>
              <w:pStyle w:val="Compact"/>
              <w:jc w:val="left"/>
            </w:pPr>
            <w:r>
              <w:t xml:space="preserve">4204000-GS-108 Guía Metodológica para el desarrollo y mantenimiento de soluciones de software.</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4"/>
    <w:p>
      <w:pPr>
        <w:pStyle w:val="BodyText"/>
      </w:pPr>
    </w:p>
    <w:bookmarkEnd w:id="45"/>
    <w:bookmarkEnd w:id="46"/>
    <w:bookmarkStart w:id="52"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tbl>
      <w:tblPr>
        <w:tblStyle w:val="Table"/>
        <w:tblW w:type="pct" w:w="5000"/>
        <w:tblLook w:firstRow="1" w:lastRow="0" w:firstColumn="0" w:lastColumn="0" w:noHBand="0" w:noVBand="0" w:val="0020"/>
        <w:jc w:val="start"/>
        <w:tblLayout w:type="fixed"/>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8" name="Picture"/>
            <a:graphic>
              <a:graphicData uri="http://schemas.openxmlformats.org/drawingml/2006/picture">
                <pic:pic>
                  <pic:nvPicPr>
                    <pic:cNvPr descr="images/06.2n3.a.AplicacionesyProcesos.png" id="49" name="Picture"/>
                    <pic:cNvPicPr>
                      <a:picLocks noChangeArrowheads="1" noChangeAspect="1"/>
                    </pic:cNvPicPr>
                  </pic:nvPicPr>
                  <pic:blipFill>
                    <a:blip r:embed="rId47"/>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1" w:name="sec:elementos-del-modelo-1"/>
    <w:p>
      <w:pPr>
        <w:pStyle w:val="Heading3"/>
      </w:pPr>
      <w:r>
        <w:t xml:space="preserve">Elementos del Modelo</w:t>
      </w:r>
    </w:p>
    <w:bookmarkStart w:id="50" w:name="X1d20c8e69ca0e89c142fbcbba0d1ef2a2844aee"/>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0"/>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tbl>
      <w:tblPr>
        <w:tblStyle w:val="Table"/>
        <w:tblW w:type="pct" w:w="5000"/>
        <w:tblLook w:firstRow="1" w:lastRow="0" w:firstColumn="0" w:lastColumn="0" w:noHBand="0" w:noVBand="0" w:val="0020"/>
        <w:jc w:val="start"/>
        <w:tblLayout w:type="fixed"/>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1"/>
    <w:bookmarkEnd w:id="52"/>
    <w:bookmarkEnd w:id="53"/>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2025-08-14T11:12:39Z</dcterms:created>
  <dcterms:modified xsi:type="dcterms:W3CDTF">2025-08-14T11:12:39Z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