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4.png" ContentType="image/png"/>
  <Override PartName="/word/media/rId30.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Propuesta</w:t>
      </w:r>
      <w:r>
        <w:t xml:space="preserve"> </w:t>
      </w:r>
      <w:r>
        <w:t xml:space="preserve">de</w:t>
      </w:r>
      <w:r>
        <w:t xml:space="preserve"> </w:t>
      </w:r>
      <w:r>
        <w:t xml:space="preserve">Servicios</w:t>
      </w:r>
      <w:r>
        <w:t xml:space="preserve"> </w:t>
      </w:r>
      <w:r>
        <w:t xml:space="preserve">Secretaria</w:t>
      </w:r>
      <w:r>
        <w:t xml:space="preserve"> </w:t>
      </w:r>
      <w:r>
        <w:t xml:space="preserve">de</w:t>
      </w:r>
      <w:r>
        <w:t xml:space="preserve"> </w:t>
      </w:r>
      <w:r>
        <w:t xml:space="preserve">la</w:t>
      </w:r>
      <w:r>
        <w:t xml:space="preserve"> </w:t>
      </w:r>
      <w:r>
        <w:t xml:space="preserve">Alcaldía</w:t>
      </w:r>
      <w:r>
        <w:t xml:space="preserve"> </w:t>
      </w:r>
      <w:r>
        <w:t xml:space="preserve">de</w:t>
      </w:r>
      <w:r>
        <w:t xml:space="preserve"> </w:t>
      </w:r>
      <w:r>
        <w:t xml:space="preserve">Bogotá</w:t>
      </w:r>
    </w:p>
    <w:p>
      <w:pPr>
        <w:pStyle w:val="Subtitle"/>
      </w:pPr>
      <w:r>
        <w:t xml:space="preserve">Evaluación</w:t>
      </w:r>
      <w:r>
        <w:t xml:space="preserve"> </w:t>
      </w:r>
      <w:r>
        <w:t xml:space="preserve">y</w:t>
      </w:r>
      <w:r>
        <w:t xml:space="preserve"> </w:t>
      </w:r>
      <w:r>
        <w:t xml:space="preserve">Hoja</w:t>
      </w:r>
      <w:r>
        <w:t xml:space="preserve"> </w:t>
      </w:r>
      <w:r>
        <w:t xml:space="preserve">de</w:t>
      </w:r>
      <w:r>
        <w:t xml:space="preserve"> </w:t>
      </w:r>
      <w:r>
        <w:t xml:space="preserve">Ruta</w:t>
      </w:r>
      <w:r>
        <w:t xml:space="preserve"> </w:t>
      </w:r>
      <w:r>
        <w:t xml:space="preserve">de</w:t>
      </w:r>
      <w:r>
        <w:t xml:space="preserve"> </w:t>
      </w:r>
      <w:r>
        <w:t xml:space="preserve">la</w:t>
      </w:r>
      <w:r>
        <w:t xml:space="preserve"> </w:t>
      </w:r>
      <w:r>
        <w:t xml:space="preserve">Arquitectura</w:t>
      </w:r>
      <w:r>
        <w:t xml:space="preserve"> </w:t>
      </w:r>
      <w:r>
        <w:t xml:space="preserve">del</w:t>
      </w:r>
      <w:r>
        <w:t xml:space="preserve"> </w:t>
      </w:r>
      <w:r>
        <w:t xml:space="preserve">Canal</w:t>
      </w:r>
      <w:r>
        <w:t xml:space="preserve"> </w:t>
      </w:r>
      <w:r>
        <w:t xml:space="preserve">Bancario</w:t>
      </w:r>
      <w:r>
        <w:t xml:space="preserve"> </w:t>
      </w:r>
      <w:r>
        <w:t xml:space="preserve">Whatsapp</w:t>
      </w:r>
    </w:p>
    <w:p>
      <w:pPr>
        <w:pStyle w:val="Author"/>
      </w:pPr>
      <w:r>
        <w:t xml:space="preserve">SoftProductiva.com</w:t>
      </w:r>
    </w:p>
    <w:p>
      <w:pPr>
        <w:pStyle w:val="Date"/>
      </w:pPr>
      <w:r>
        <w:t xml:space="preserve">2025-01-20</w:t>
      </w:r>
    </w:p>
    <w:p>
      <w:r>
        <w:br w:type="page"/>
      </w:r>
    </w:p>
    <w:bookmarkStart w:id="23" w:name="sec:información-del-documento"/>
    <w:p>
      <w:pPr>
        <w:pStyle w:val="Heading1"/>
      </w:pPr>
      <w:r>
        <w:t xml:space="preserve">Información del Documento</w:t>
      </w:r>
    </w:p>
    <w:p>
      <w:pPr>
        <w:pStyle w:val="FirstParagraph"/>
      </w:pPr>
      <w:r>
        <w:t xml:space="preserve">Esta es la doc del grupo.</w:t>
      </w:r>
      <w:r>
        <w:t xml:space="preserve"> </w:t>
      </w:r>
      <w:r>
        <w:t xml:space="preserve">## Versión del Documento</w:t>
      </w:r>
    </w:p>
    <w:p>
      <w:pPr>
        <w:pStyle w:val="FirstParagraph"/>
      </w:pPr>
    </w:p>
    <w:p>
      <w:pPr>
        <w:pStyle w:val="BodyText"/>
      </w:pPr>
      <w:r>
        <w:t xml:space="preserve">Versión actual 1.ec02e8f - Compilación para entrega: accion-actualizacionContd (4b0b128) - Sun, 27 Jul 2025 19:10:16 +0000</w:t>
      </w:r>
    </w:p>
    <w:bookmarkStart w:id="22" w:name="sec:control-de-cambios"/>
    <w:p>
      <w:pPr>
        <w:pStyle w:val="Heading2"/>
      </w:pPr>
      <w:r>
        <w:t xml:space="preserve">Control de Cambios</w:t>
      </w:r>
    </w:p>
    <w:p>
      <w:pPr>
        <w:pStyle w:val="FirstParagraph"/>
      </w:pPr>
      <w:r>
        <w:t xml:space="preserve">Historia de cambios del documento.</w:t>
      </w:r>
    </w:p>
    <w:p>
      <w:pPr>
        <w:pStyle w:val="BodyText"/>
      </w:pPr>
      <w:r>
        <w:t xml:space="preserve">1.66769cf - Compilación para entrega: accion-actualizacionContd (22e0a1b) - Sun, 27 Jul 2025 19:04:27 +0000</w:t>
      </w:r>
    </w:p>
    <w:p>
      <w:pPr>
        <w:pStyle w:val="BodyText"/>
      </w:pPr>
      <w:r>
        <w:t xml:space="preserve">1.f852fcb - Compilación para entrega: accion-actualizacionContd (d14c603) - Sun, 27 Jul 2025 19:01:15 +0000</w:t>
      </w:r>
    </w:p>
    <w:p>
      <w:pPr>
        <w:pStyle w:val="BodyText"/>
      </w:pPr>
      <w:r>
        <w:t xml:space="preserve">1.39194f9 - Compilación para entrega: accion-actualizacionContd (746e4f7) - Sun, 27 Jul 2025 18:49:37 +0000</w:t>
      </w:r>
    </w:p>
    <w:p>
      <w:pPr>
        <w:pStyle w:val="BodyText"/>
      </w:pPr>
      <w:r>
        <w:t xml:space="preserve">1.c659363 - Compilación para entrega: accion-actualizacionContd (de41112) - Sat, 26 Jul 2025 18:49:46 +0000</w:t>
      </w:r>
    </w:p>
    <w:bookmarkStart w:id="20" w:name="sec:realizado-por"/>
    <w:p>
      <w:pPr>
        <w:pStyle w:val="Heading3"/>
      </w:pPr>
      <w:r>
        <w:t xml:space="preserve">Realizado Por</w:t>
      </w:r>
    </w:p>
    <w:p>
      <w:pPr>
        <w:pStyle w:val="FirstParagraph"/>
      </w:pPr>
      <w:r>
        <w:t xml:space="preserve">(creador)</w:t>
      </w:r>
    </w:p>
    <w:bookmarkEnd w:id="20"/>
    <w:bookmarkStart w:id="21" w:name="sec:revisado-por"/>
    <w:p>
      <w:pPr>
        <w:pStyle w:val="Heading3"/>
      </w:pPr>
      <w:r>
        <w:t xml:space="preserve">Revisado Por</w:t>
      </w:r>
    </w:p>
    <w:p>
      <w:pPr>
        <w:pStyle w:val="FirstParagraph"/>
      </w:pPr>
      <w:r>
        <w:t xml:space="preserve">(revisor), Arquitectura de Aplicaciones</w:t>
      </w:r>
    </w:p>
    <w:p>
      <w:r>
        <w:br w:type="page"/>
      </w:r>
    </w:p>
    <w:bookmarkEnd w:id="21"/>
    <w:bookmarkEnd w:id="22"/>
    <w:bookmarkEnd w:id="23"/>
    <w:bookmarkStart w:id="46" w:name="Xc29ca39b85a269a6cc2da75c88e7487d72bb8b6"/>
    <w:p>
      <w:pPr>
        <w:pStyle w:val="Heading1"/>
      </w:pPr>
      <w:r>
        <w:t xml:space="preserve">Servicios de Ingeniería Arquitectura de Aplicaciones Secretaria de la Alcaldía de Bogotá</w:t>
      </w:r>
    </w:p>
    <w:bookmarkStart w:id="29" w:name="sec:entrg.1n.-modelo-de-entregas"/>
    <w:p>
      <w:pPr>
        <w:pStyle w:val="Heading2"/>
      </w:pPr>
      <w:r>
        <w:t xml:space="preserve">03.ENTRG.1n. Modelo de Entregas</w:t>
      </w:r>
    </w:p>
    <w:p>
      <w:pPr>
        <w:pStyle w:val="BlockText"/>
      </w:pPr>
      <w:r>
        <w:t xml:space="preserve">Ingenium. Modelo de Entregas. Dominio de Aplicación. AE. Secretaria Seneral Alcaldía Mayor de Bogotá.</w:t>
      </w:r>
    </w:p>
    <w:p>
      <w:pPr>
        <w:pStyle w:val="FirstParagraph"/>
      </w:pPr>
    </w:p>
    <w:p>
      <w:pPr>
        <w:pStyle w:val="CaptionedFigure"/>
      </w:pPr>
      <w:r>
        <w:drawing>
          <wp:inline>
            <wp:extent cx="4572000" cy="4840941"/>
            <wp:effectExtent b="0" l="0" r="0" t="0"/>
            <wp:docPr descr="03.ENTRG.1n. Modelo de Entregas. Fuente: Propuesta servicios de ingeniería y evaluación de arquitectura Arquitectura de Aplicaciones Secretaria de la Alcaldía de Bogotá (2025)" title="" id="25" name="Picture"/>
            <a:graphic>
              <a:graphicData uri="http://schemas.openxmlformats.org/drawingml/2006/picture">
                <pic:pic>
                  <pic:nvPicPr>
                    <pic:cNvPr descr="images/03.ENTRG.1n.ModelodeEntregas.png" id="26" name="Picture"/>
                    <pic:cNvPicPr>
                      <a:picLocks noChangeArrowheads="1" noChangeAspect="1"/>
                    </pic:cNvPicPr>
                  </pic:nvPicPr>
                  <pic:blipFill>
                    <a:blip r:embed="rId24"/>
                    <a:stretch>
                      <a:fillRect/>
                    </a:stretch>
                  </pic:blipFill>
                  <pic:spPr bwMode="auto">
                    <a:xfrm>
                      <a:off x="0" y="0"/>
                      <a:ext cx="4572000" cy="4840941"/>
                    </a:xfrm>
                    <a:prstGeom prst="rect">
                      <a:avLst/>
                    </a:prstGeom>
                    <a:noFill/>
                    <a:ln w="9525">
                      <a:noFill/>
                      <a:headEnd/>
                      <a:tailEnd/>
                    </a:ln>
                  </pic:spPr>
                </pic:pic>
              </a:graphicData>
            </a:graphic>
          </wp:inline>
        </w:drawing>
      </w:r>
    </w:p>
    <w:p>
      <w:pPr>
        <w:pStyle w:val="ImageCaption"/>
      </w:pPr>
      <w:r>
        <w:t xml:space="preserve">Figura 1: 03.ENTRG.1n. Modelo de Entregas.</w:t>
      </w:r>
      <w:r>
        <w:t xml:space="preserve"> </w:t>
      </w:r>
      <w:r>
        <w:rPr>
          <w:iCs/>
          <w:i/>
        </w:rPr>
        <w:t xml:space="preserve">Fuente: Propuesta servicios de ingeniería y evaluación de arquitectura Arquitectura de Aplicaciones Secretaria de la Alcaldía de Bogotá (2025)</w:t>
      </w:r>
    </w:p>
    <w:bookmarkStart w:id="28" w:name="sec:elementos-del-modelo"/>
    <w:p>
      <w:pPr>
        <w:pStyle w:val="Heading3"/>
      </w:pPr>
      <w:r>
        <w:t xml:space="preserve">Elementos del Modelo</w:t>
      </w:r>
    </w:p>
    <w:bookmarkStart w:id="27" w:name="Xe32497181db6607f854a30605e3687ada51b4dc"/>
    <w:p>
      <w:pPr>
        <w:pStyle w:val="TableCaption"/>
      </w:pPr>
      <w:r>
        <w:rPr>
          <w:iCs/>
          <w:i/>
        </w:rPr>
        <w:t xml:space="preserve">Tabla 1</w:t>
      </w:r>
      <w:r>
        <w:t xml:space="preserve">: Elementos de la vista.</w:t>
      </w:r>
    </w:p>
    <w:tbl>
      <w:tblPr>
        <w:tblStyle w:val="Table"/>
        <w:tblW w:type="auto" w:w="0"/>
        <w:tblLook w:firstRow="1" w:lastRow="0" w:firstColumn="0" w:lastColumn="0" w:noHBand="0" w:noVBand="0" w:val="0020"/>
        <w:jc w:val="start"/>
        <w:tblCaption w:val="Tabla 1: Elementos de la vista."/>
      </w:tblPr>
      <w:tblGrid>
        <w:gridCol w:w="2640"/>
        <w:gridCol w:w="2640"/>
        <w:gridCol w:w="264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Hoja ruta del producto / Plan de producto</w:t>
            </w:r>
          </w:p>
        </w:tc>
        <w:tc>
          <w:tcPr/>
          <w:p>
            <w:pPr>
              <w:pStyle w:val="Compact"/>
              <w:jc w:val="left"/>
            </w:pPr>
            <w:r>
              <w:t xml:space="preserve">Grouping</w:t>
            </w:r>
          </w:p>
        </w:tc>
        <w:tc>
          <w:tcPr/>
          <w:p>
            <w:pPr>
              <w:pStyle w:val="Compact"/>
            </w:pPr>
          </w:p>
        </w:tc>
      </w:tr>
      <w:tr>
        <w:tc>
          <w:tcPr/>
          <w:p>
            <w:pPr>
              <w:pStyle w:val="Compact"/>
              <w:jc w:val="left"/>
            </w:pPr>
            <w:r>
              <w:t xml:space="preserve">Plan de entregas / iteración</w:t>
            </w:r>
          </w:p>
        </w:tc>
        <w:tc>
          <w:tcPr/>
          <w:p>
            <w:pPr>
              <w:pStyle w:val="Compact"/>
              <w:jc w:val="left"/>
            </w:pPr>
            <w:r>
              <w:t xml:space="preserve">Grouping</w:t>
            </w:r>
          </w:p>
        </w:tc>
        <w:tc>
          <w:tcPr/>
          <w:p>
            <w:pPr>
              <w:pStyle w:val="Compact"/>
            </w:pPr>
          </w:p>
        </w:tc>
      </w:tr>
      <w:tr>
        <w:tc>
          <w:tcPr/>
          <w:p>
            <w:pPr>
              <w:pStyle w:val="Compact"/>
              <w:jc w:val="left"/>
            </w:pPr>
            <w:r>
              <w:t xml:space="preserve">Hoja ruta arquitectura</w:t>
            </w:r>
          </w:p>
        </w:tc>
        <w:tc>
          <w:tcPr/>
          <w:p>
            <w:pPr>
              <w:pStyle w:val="Compact"/>
              <w:jc w:val="left"/>
            </w:pPr>
            <w:r>
              <w:t xml:space="preserve">Grouping</w:t>
            </w:r>
          </w:p>
        </w:tc>
        <w:tc>
          <w:tcPr/>
          <w:p>
            <w:pPr>
              <w:pStyle w:val="Compact"/>
            </w:pPr>
          </w:p>
        </w:tc>
      </w:tr>
    </w:tbl>
    <w:bookmarkEnd w:id="27"/>
    <w:p>
      <w:pPr>
        <w:pStyle w:val="BodyText"/>
      </w:pPr>
    </w:p>
    <w:bookmarkEnd w:id="28"/>
    <w:bookmarkEnd w:id="29"/>
    <w:bookmarkStart w:id="43" w:name="X0dfed88e1982bd14c512174813fc79fcfe6afff"/>
    <w:p>
      <w:pPr>
        <w:pStyle w:val="Heading2"/>
      </w:pPr>
      <w:r>
        <w:t xml:space="preserve">Entregables Fase I de la Visión AE de SG</w:t>
      </w:r>
    </w:p>
    <w:p>
      <w:pPr>
        <w:pStyle w:val="FirstParagraph"/>
      </w:pPr>
    </w:p>
    <w:p>
      <w:pPr>
        <w:pStyle w:val="CaptionedFigure"/>
      </w:pPr>
      <w:r>
        <w:drawing>
          <wp:inline>
            <wp:extent cx="6400800" cy="4454357"/>
            <wp:effectExtent b="0" l="0" r="0" t="0"/>
            <wp:docPr descr="03. Entregables de la Vision. Fuente: Propuesta servicios de ingeniería y evaluación de arquitectura Arquitectura de Aplicaciones Secretaria de la Alcaldía de Bogotá (2025)" title="" id="31" name="Picture"/>
            <a:graphic>
              <a:graphicData uri="http://schemas.openxmlformats.org/drawingml/2006/picture">
                <pic:pic>
                  <pic:nvPicPr>
                    <pic:cNvPr descr="images/03.EntregablesdelaVision.png" id="32" name="Picture"/>
                    <pic:cNvPicPr>
                      <a:picLocks noChangeArrowheads="1" noChangeAspect="1"/>
                    </pic:cNvPicPr>
                  </pic:nvPicPr>
                  <pic:blipFill>
                    <a:blip r:embed="rId30"/>
                    <a:stretch>
                      <a:fillRect/>
                    </a:stretch>
                  </pic:blipFill>
                  <pic:spPr bwMode="auto">
                    <a:xfrm>
                      <a:off x="0" y="0"/>
                      <a:ext cx="6400800" cy="4454357"/>
                    </a:xfrm>
                    <a:prstGeom prst="rect">
                      <a:avLst/>
                    </a:prstGeom>
                    <a:noFill/>
                    <a:ln w="9525">
                      <a:noFill/>
                      <a:headEnd/>
                      <a:tailEnd/>
                    </a:ln>
                  </pic:spPr>
                </pic:pic>
              </a:graphicData>
            </a:graphic>
          </wp:inline>
        </w:drawing>
      </w:r>
    </w:p>
    <w:p>
      <w:pPr>
        <w:pStyle w:val="ImageCaption"/>
      </w:pPr>
      <w:r>
        <w:t xml:space="preserve">Figura 2: 03. Entregables de la Vision.</w:t>
      </w:r>
      <w:r>
        <w:t xml:space="preserve"> </w:t>
      </w:r>
      <w:r>
        <w:rPr>
          <w:iCs/>
          <w:i/>
        </w:rPr>
        <w:t xml:space="preserve">Fuente: Propuesta servicios de ingeniería y evaluación de arquitectura Arquitectura de Aplicaciones Secretaria de la Alcaldía de Bogotá (2025)</w:t>
      </w:r>
    </w:p>
    <w:bookmarkStart w:id="33" w:name="sec:visión"/>
    <w:p>
      <w:pPr>
        <w:pStyle w:val="Heading3"/>
      </w:pPr>
      <w:r>
        <w:t xml:space="preserve">Visión</w:t>
      </w:r>
    </w:p>
    <w:bookmarkEnd w:id="33"/>
    <w:bookmarkStart w:id="3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 la Secretaría General, llamada en adelante</w:t>
      </w:r>
      <w:r>
        <w:t xml:space="preserve"> </w:t>
      </w:r>
      <w:r>
        <w:t xml:space="preserve">“</w:t>
      </w:r>
      <w:r>
        <w:t xml:space="preserve">la arquitectura de sistemas de Información de SG</w:t>
      </w:r>
      <w:r>
        <w:t xml:space="preserve">”</w:t>
      </w:r>
      <w:r>
        <w:t xml:space="preserve">, buscamos adelantar las especificaciones de las arquitecturas objetivo de los sistemas de información de Secretaria de la Alcaldía de Bogotá que soporten la arquitectura de negocio y datos, en línea y dentro del alcance de la visión establecida en el primer entregable de este ejercicio de arquitectura empresarial de SG (AESG).</w:t>
      </w:r>
    </w:p>
    <w:p>
      <w:pPr>
        <w:pStyle w:val="BodyText"/>
      </w:pPr>
      <w:r>
        <w:t xml:space="preserve">En particular, la arquitectura de sistemas de información de SG se plantea, dentro del alcance de la visión del ejercicio:</w:t>
      </w:r>
    </w:p>
    <w:p>
      <w:pPr>
        <w:numPr>
          <w:ilvl w:val="0"/>
          <w:numId w:val="1001"/>
        </w:numPr>
        <w:pStyle w:val="Compact"/>
      </w:pPr>
      <w:r>
        <w:t xml:space="preserve">Definir la arquitectura de las aplicaciones (SI) necesarias para soportar los procesos de negocio de SG.</w:t>
      </w:r>
    </w:p>
    <w:p>
      <w:pPr>
        <w:numPr>
          <w:ilvl w:val="0"/>
          <w:numId w:val="1001"/>
        </w:numPr>
        <w:pStyle w:val="Compact"/>
      </w:pPr>
      <w:r>
        <w:t xml:space="preserve">Identificar las funciones de negocio que deben ser soportadas por las aplicaciones de SG.</w:t>
      </w:r>
    </w:p>
    <w:p>
      <w:pPr>
        <w:numPr>
          <w:ilvl w:val="0"/>
          <w:numId w:val="1001"/>
        </w:numPr>
        <w:pStyle w:val="Compact"/>
      </w:pPr>
      <w:r>
        <w:t xml:space="preserve">Establecer la interacción y el flujo de información entre las diferentes aplicaciones de SG.</w:t>
      </w:r>
    </w:p>
    <w:p>
      <w:pPr>
        <w:numPr>
          <w:ilvl w:val="0"/>
          <w:numId w:val="1001"/>
        </w:numPr>
        <w:pStyle w:val="Compact"/>
      </w:pPr>
      <w:r>
        <w:t xml:space="preserve">Considerar aspectos sistémicos como la escalabilidad, el rendimiento, la mantenibilidad y la seguridad de las aplicaciones de SG.</w:t>
      </w:r>
    </w:p>
    <w:p>
      <w:pPr>
        <w:numPr>
          <w:ilvl w:val="0"/>
          <w:numId w:val="1001"/>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SG (AESG); y en lo específico, contribuye a los fines de la arquitectura de negocio y tecnológica de SG, a delinear oportunidades y soluciones, y a soportar la planeación de la migración. Todo lo anterior dentro del alcance consignado en este ejercicio.</w:t>
      </w:r>
    </w:p>
    <w:bookmarkStart w:id="3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2"/>
        </w:numPr>
        <w:pStyle w:val="Compact"/>
      </w:pPr>
      <w:r>
        <w:t xml:space="preserve">Secretaría Privada</w:t>
      </w:r>
    </w:p>
    <w:p>
      <w:pPr>
        <w:numPr>
          <w:ilvl w:val="1"/>
          <w:numId w:val="1003"/>
        </w:numPr>
        <w:pStyle w:val="Compact"/>
      </w:pPr>
      <w:r>
        <w:t xml:space="preserve">Oficina Consejería Distrital de Comunicación. César Augusto Castro Rodríguez</w:t>
      </w:r>
    </w:p>
    <w:p>
      <w:pPr>
        <w:numPr>
          <w:ilvl w:val="1"/>
          <w:numId w:val="1003"/>
        </w:numPr>
        <w:pStyle w:val="Compact"/>
      </w:pPr>
      <w:r>
        <w:t xml:space="preserve">Oficina Consejería Distrital de Tecnologías de la Información y las Comunicaciones -TIC. Diana Celis Mora</w:t>
      </w:r>
    </w:p>
    <w:p>
      <w:pPr>
        <w:numPr>
          <w:ilvl w:val="0"/>
          <w:numId w:val="1002"/>
        </w:numPr>
        <w:pStyle w:val="Compact"/>
      </w:pPr>
      <w:r>
        <w:t xml:space="preserve">Despacho del Secretario General. Miguel Andrés Silva Moyano</w:t>
      </w:r>
    </w:p>
    <w:p>
      <w:pPr>
        <w:numPr>
          <w:ilvl w:val="1"/>
          <w:numId w:val="1004"/>
        </w:numPr>
        <w:pStyle w:val="Compact"/>
      </w:pPr>
      <w:r>
        <w:t xml:space="preserve">Oficina de Tecnologías de la Información y las Comunicaciones. Arleth Patricia Saurith Contreras</w:t>
      </w:r>
    </w:p>
    <w:p>
      <w:pPr>
        <w:numPr>
          <w:ilvl w:val="1"/>
          <w:numId w:val="1004"/>
        </w:numPr>
        <w:pStyle w:val="Compact"/>
      </w:pPr>
      <w:r>
        <w:t xml:space="preserve">Subsecretaría Distrital de Fortalecimiento Institucional. Alejandra Rodas Gaiter</w:t>
      </w:r>
    </w:p>
    <w:p>
      <w:pPr>
        <w:numPr>
          <w:ilvl w:val="2"/>
          <w:numId w:val="1005"/>
        </w:numPr>
        <w:pStyle w:val="Compact"/>
      </w:pPr>
      <w:r>
        <w:t xml:space="preserve">Dirección Distrital de Desarrollo Institucional. Sebastian Estrada Jaramillo</w:t>
      </w:r>
    </w:p>
    <w:p>
      <w:pPr>
        <w:numPr>
          <w:ilvl w:val="3"/>
          <w:numId w:val="1006"/>
        </w:numPr>
        <w:pStyle w:val="Compact"/>
      </w:pPr>
      <w:r>
        <w:t xml:space="preserve">Subdirección Técnica de Desarrollo Institucional. Diego Canesco Arenas</w:t>
      </w:r>
    </w:p>
    <w:p>
      <w:pPr>
        <w:numPr>
          <w:ilvl w:val="1"/>
          <w:numId w:val="1004"/>
        </w:numPr>
        <w:pStyle w:val="Compact"/>
      </w:pPr>
      <w:r>
        <w:t xml:space="preserve">Subsecretaría de Servicio a la Ciudadanía . Adriana Vargas Tamayo</w:t>
      </w:r>
    </w:p>
    <w:p>
      <w:pPr>
        <w:numPr>
          <w:ilvl w:val="2"/>
          <w:numId w:val="1007"/>
        </w:numPr>
        <w:pStyle w:val="Compact"/>
      </w:pPr>
      <w:r>
        <w:t xml:space="preserve">Dirección del Sistema Distrital de Servicio a la Ciudadanía. Enrique Cusba García</w:t>
      </w:r>
    </w:p>
    <w:p>
      <w:pPr>
        <w:numPr>
          <w:ilvl w:val="1"/>
          <w:numId w:val="1004"/>
        </w:numPr>
        <w:pStyle w:val="Compact"/>
      </w:pPr>
      <w:r>
        <w:t xml:space="preserve">Subsecretaría Corporativa. Henry Villamarín Serrano</w:t>
      </w:r>
    </w:p>
    <w:p>
      <w:pPr>
        <w:numPr>
          <w:ilvl w:val="1"/>
          <w:numId w:val="1004"/>
        </w:numPr>
        <w:pStyle w:val="Compact"/>
      </w:pPr>
      <w:r>
        <w:t xml:space="preserve">Subsecreataría de Servicios Ciudadanos (…)</w:t>
      </w:r>
    </w:p>
    <w:p>
      <w:pPr>
        <w:numPr>
          <w:ilvl w:val="1"/>
          <w:numId w:val="1004"/>
        </w:numPr>
        <w:pStyle w:val="Compact"/>
      </w:pPr>
      <w:r>
        <w:t xml:space="preserve">Subsecreataría de Inversión y FF (…)</w:t>
      </w:r>
    </w:p>
    <w:p>
      <w:pPr>
        <w:numPr>
          <w:ilvl w:val="1"/>
          <w:numId w:val="1004"/>
        </w:numPr>
        <w:pStyle w:val="Compact"/>
      </w:pPr>
      <w:r>
        <w:t xml:space="preserve">Subsecreataría de Operaciones</w:t>
      </w:r>
    </w:p>
    <w:p>
      <w:pPr>
        <w:numPr>
          <w:ilvl w:val="1"/>
          <w:numId w:val="1004"/>
        </w:numPr>
        <w:pStyle w:val="Compact"/>
      </w:pPr>
      <w:r>
        <w:t xml:space="preserve">Subsecreataría de Relaciones Internacionales (…)</w:t>
      </w:r>
    </w:p>
    <w:p>
      <w:pPr>
        <w:pStyle w:val="FirstParagraph"/>
      </w:pPr>
      <w:r>
        <w:t xml:space="preserve">En cuanto al alcance vertical, las aplicaciones de software que están consignadas en este ejercicio son las siguientes (</w:t>
      </w:r>
      <w:r>
        <w:rPr>
          <w:iCs/>
          <w:i/>
        </w:rPr>
        <w:t xml:space="preserve">fuente: sesiones de levantamiento, entrevistas, y cuestionarios compartidos en el mes de julio del 2025, junto con la recopilación estructurada de las fuentes de información</w:t>
      </w:r>
      <w:r>
        <w:t xml:space="preserve">):</w:t>
      </w:r>
    </w:p>
    <w:p>
      <w:pPr>
        <w:numPr>
          <w:ilvl w:val="0"/>
          <w:numId w:val="1008"/>
        </w:numPr>
        <w:pStyle w:val="Compact"/>
      </w:pPr>
      <w:r>
        <w:t xml:space="preserve">ADMON: Se relaciona con la gestión financiera, gestión de servicios administrativos y tecnológicos, y gestión de recursos físicos45.</w:t>
      </w:r>
    </w:p>
    <w:p>
      <w:pPr>
        <w:numPr>
          <w:ilvl w:val="0"/>
          <w:numId w:val="1008"/>
        </w:numPr>
        <w:pStyle w:val="Compact"/>
      </w:pPr>
      <w:r>
        <w:t xml:space="preserve">Administrativo y Financiero: Soporta la gestión financiera, gestión de servicios administrativos y tecnológicos, y gestión de recursos físicos</w:t>
      </w:r>
    </w:p>
    <w:p>
      <w:pPr>
        <w:numPr>
          <w:ilvl w:val="0"/>
          <w:numId w:val="1008"/>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08"/>
        </w:numPr>
        <w:pStyle w:val="Compact"/>
      </w:pPr>
      <w:r>
        <w:t xml:space="preserve">Bogotá Aprende TIC: Apoya los procesos de Gobierno abierto y relacionamiento con la ciudadanía, y Fortalecimiento de la Gestión Pública</w:t>
      </w:r>
    </w:p>
    <w:p>
      <w:pPr>
        <w:numPr>
          <w:ilvl w:val="0"/>
          <w:numId w:val="1008"/>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08"/>
        </w:numPr>
        <w:pStyle w:val="Compact"/>
      </w:pPr>
      <w:r>
        <w:t xml:space="preserve">SIGA: Interviene en la gestión de contratación, gestión financiera, gestión de servicios administrativos y tecnológicos, y gestión de recursos físicos</w:t>
      </w:r>
    </w:p>
    <w:p>
      <w:pPr>
        <w:numPr>
          <w:ilvl w:val="0"/>
          <w:numId w:val="1008"/>
        </w:numPr>
        <w:pStyle w:val="Compact"/>
      </w:pPr>
      <w:r>
        <w:t xml:space="preserve">SAT Web: Relacionado con la gestión de servicios administrativos y tecnológicos</w:t>
      </w:r>
    </w:p>
    <w:p>
      <w:pPr>
        <w:numPr>
          <w:ilvl w:val="0"/>
          <w:numId w:val="1008"/>
        </w:numPr>
        <w:pStyle w:val="Compact"/>
      </w:pPr>
      <w:r>
        <w:t xml:space="preserve">GLOBO: Utilizado en el proceso de Fortalecimiento de la Gestión Pública</w:t>
      </w:r>
    </w:p>
    <w:p>
      <w:pPr>
        <w:numPr>
          <w:ilvl w:val="0"/>
          <w:numId w:val="1008"/>
        </w:numPr>
        <w:pStyle w:val="Compact"/>
      </w:pPr>
      <w:r>
        <w:t xml:space="preserve">Datos para la Transparencia (SATI): Soporta el proceso de Gobierno abierto y relacionamiento con la ciudadanía</w:t>
      </w:r>
    </w:p>
    <w:p>
      <w:pPr>
        <w:numPr>
          <w:ilvl w:val="0"/>
          <w:numId w:val="1008"/>
        </w:numPr>
        <w:pStyle w:val="Compact"/>
      </w:pPr>
      <w:r>
        <w:t xml:space="preserve">SUDIVC: Se aplica en los procesos de Gobierno abierto y relacionamiento con la ciudadanía, Paz, víctimas y reconciliación, y Fortalecimiento de la Gestión Pública</w:t>
      </w:r>
    </w:p>
    <w:p>
      <w:pPr>
        <w:numPr>
          <w:ilvl w:val="0"/>
          <w:numId w:val="1008"/>
        </w:numPr>
        <w:pStyle w:val="Compact"/>
      </w:pPr>
      <w:r>
        <w:t xml:space="preserve">HUMANAPP: Apoya la gestión del talento humano</w:t>
      </w:r>
    </w:p>
    <w:p>
      <w:pPr>
        <w:numPr>
          <w:ilvl w:val="0"/>
          <w:numId w:val="1008"/>
        </w:numPr>
        <w:pStyle w:val="Compact"/>
      </w:pPr>
      <w:r>
        <w:t xml:space="preserve">SIAB (El COFRE): Utilizado en los procesos de Gobierno abierto y relacionamiento con la ciudadanía, y Fortalecimiento de la Gestión Pública</w:t>
      </w:r>
    </w:p>
    <w:p>
      <w:pPr>
        <w:numPr>
          <w:ilvl w:val="0"/>
          <w:numId w:val="1008"/>
        </w:numPr>
        <w:pStyle w:val="Compact"/>
      </w:pPr>
      <w:r>
        <w:t xml:space="preserve">KOHA: Relacionado con la Gestión del conocimiento</w:t>
      </w:r>
    </w:p>
    <w:p>
      <w:pPr>
        <w:numPr>
          <w:ilvl w:val="0"/>
          <w:numId w:val="1008"/>
        </w:numPr>
        <w:pStyle w:val="Compact"/>
      </w:pPr>
      <w:r>
        <w:t xml:space="preserve">SIVIC: Interviene en los procesos de Paz, víctimas y reconciliación, y Fortalecimiento de la Gestión Pública</w:t>
      </w:r>
    </w:p>
    <w:p>
      <w:pPr>
        <w:numPr>
          <w:ilvl w:val="0"/>
          <w:numId w:val="1008"/>
        </w:numPr>
        <w:pStyle w:val="Compact"/>
      </w:pPr>
      <w:r>
        <w:t xml:space="preserve">Data Warehouse AVANTI: Apoya la Gestión del conocimiento</w:t>
      </w:r>
    </w:p>
    <w:p>
      <w:pPr>
        <w:numPr>
          <w:ilvl w:val="0"/>
          <w:numId w:val="1008"/>
        </w:numPr>
        <w:pStyle w:val="Compact"/>
      </w:pPr>
      <w:r>
        <w:t xml:space="preserve">Gestión Académica: Relacionado con la Gestión del conocimiento</w:t>
      </w:r>
    </w:p>
    <w:p>
      <w:pPr>
        <w:numPr>
          <w:ilvl w:val="0"/>
          <w:numId w:val="1008"/>
        </w:numPr>
        <w:pStyle w:val="Compact"/>
      </w:pPr>
      <w:r>
        <w:t xml:space="preserve">EMLAZE: Utilizado en los procesos de Gobierno abierto y relacionamiento con la ciudadanía, y Fortalecimiento de la Gestión Pública</w:t>
      </w:r>
    </w:p>
    <w:p>
      <w:pPr>
        <w:numPr>
          <w:ilvl w:val="0"/>
          <w:numId w:val="1008"/>
        </w:numPr>
        <w:pStyle w:val="Compact"/>
      </w:pPr>
      <w:r>
        <w:t xml:space="preserve">GLPI: Soporta la gestión de servicios administrativos y tecnológicos</w:t>
      </w:r>
    </w:p>
    <w:p>
      <w:pPr>
        <w:numPr>
          <w:ilvl w:val="0"/>
          <w:numId w:val="1008"/>
        </w:numPr>
        <w:pStyle w:val="Compact"/>
      </w:pPr>
      <w:r>
        <w:t xml:space="preserve">GitLab: Se relaciona con la Gestión de alianzas e internacionalización de Bogotá</w:t>
      </w:r>
    </w:p>
    <w:bookmarkEnd w:id="34"/>
    <w:bookmarkEnd w:id="35"/>
    <w:bookmarkStart w:id="36"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SG son herramientas para el relacionamiento con otros dominios del ejercicio de arquitectura empresarial de SG. Con esto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09"/>
        </w:numPr>
        <w:pStyle w:val="Compact"/>
      </w:pPr>
      <w:r>
        <w:t xml:space="preserve">Las matrices son cruciales para especificar cómo debe relacionarse la información entre los sistemas y otros dominios</w:t>
      </w:r>
    </w:p>
    <w:p>
      <w:pPr>
        <w:numPr>
          <w:ilvl w:val="0"/>
          <w:numId w:val="1009"/>
        </w:numPr>
        <w:pStyle w:val="Compact"/>
      </w:pPr>
      <w:r>
        <w:t xml:space="preserve">proporcionan información crítica para los proyectos que involucren a los sistemas de SG.</w:t>
      </w:r>
    </w:p>
    <w:p>
      <w:pPr>
        <w:numPr>
          <w:ilvl w:val="0"/>
          <w:numId w:val="1009"/>
        </w:numPr>
        <w:pStyle w:val="Compact"/>
      </w:pPr>
      <w:r>
        <w:t xml:space="preserve">Contribuye a la determinación de brechas (gaps) en las necesidades de compartir información (o funciones de los sistemas) ente los elementos de la matriz.</w:t>
      </w:r>
    </w:p>
    <w:p>
      <w:pPr>
        <w:numPr>
          <w:ilvl w:val="0"/>
          <w:numId w:val="1009"/>
        </w:numPr>
        <w:pStyle w:val="Compact"/>
      </w:pPr>
      <w:r>
        <w:t xml:space="preserve">La matriz ayuda a definir el nivel de detalle de lo que se comparte.</w:t>
      </w:r>
    </w:p>
    <w:p>
      <w:pPr>
        <w:numPr>
          <w:ilvl w:val="0"/>
          <w:numId w:val="1009"/>
        </w:numPr>
        <w:pStyle w:val="Compact"/>
      </w:pPr>
      <w:r>
        <w:t xml:space="preserve">Se deben establecer medidas similares para la interoperabilidad de servicios/negocios y la infraestructura (tecnología física).</w:t>
      </w:r>
    </w:p>
    <w:p>
      <w:pPr>
        <w:numPr>
          <w:ilvl w:val="0"/>
          <w:numId w:val="1009"/>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36"/>
    <w:bookmarkStart w:id="38" w:name="sec:catálogo-de-sistemas-de-información"/>
    <w:p>
      <w:pPr>
        <w:pStyle w:val="Heading3"/>
      </w:pPr>
      <w:r>
        <w:t xml:space="preserve">Catálogo de Sistemas de Información</w:t>
      </w:r>
    </w:p>
    <w:p>
      <w:pPr>
        <w:pStyle w:val="FirstParagraph"/>
      </w:pPr>
      <w:r>
        <w:t xml:space="preserve">En el contexto de TOGAF, El Catálogo de sistemas de información es un inventario detallado y documentado que actúa como ficha técnica de los sistemas de información o aplicaciones de software de SG.</w:t>
      </w:r>
    </w:p>
    <w:p>
      <w:pPr>
        <w:pStyle w:val="BodyText"/>
      </w:pPr>
      <w:r>
        <w:t xml:space="preserve">Es un producto entregable clave de la fase de Arquitectura de Aplicaciones dentro de la Fase 3 de este ejercicio de arquitectura empresarial (AE). Forma parte del Marco de Referencia del Contenido Arquitectónico de TOGAF y del Marco de Arquitectura de Referencia del MinTIC (MAE 3.0, Colombia).</w:t>
      </w:r>
    </w:p>
    <w:p>
      <w:pPr>
        <w:pStyle w:val="BodyText"/>
      </w:pPr>
      <w:r>
        <w:t xml:space="preserve">La construcción del catálogo de aplicaciones implican a las sesiones de levantamiento, entrevistas, y cuestionarios compartidos en el mes de julio, junto con la recopilación estructurada de las fuentes de información sobre cada sistema.</w:t>
      </w:r>
    </w:p>
    <w:bookmarkStart w:id="37" w:name="sec:contenido-mínimo-del-catálogo"/>
    <w:p>
      <w:pPr>
        <w:pStyle w:val="Heading4"/>
      </w:pPr>
      <w:r>
        <w:t xml:space="preserve">Contenido Mínimo del Catálogo</w:t>
      </w:r>
    </w:p>
    <w:p>
      <w:pPr>
        <w:numPr>
          <w:ilvl w:val="0"/>
          <w:numId w:val="1010"/>
        </w:numPr>
        <w:pStyle w:val="Compact"/>
      </w:pPr>
      <w:r>
        <w:t xml:space="preserve">ID de Aplicación. Código de identificación de la aplicación de software.</w:t>
      </w:r>
    </w:p>
    <w:p>
      <w:pPr>
        <w:numPr>
          <w:ilvl w:val="0"/>
          <w:numId w:val="1010"/>
        </w:numPr>
        <w:pStyle w:val="Compact"/>
      </w:pPr>
      <w:r>
        <w:t xml:space="preserve">Nombre de la Aplicación. Nombre de identificación de la aplicación de software.</w:t>
      </w:r>
    </w:p>
    <w:p>
      <w:pPr>
        <w:numPr>
          <w:ilvl w:val="0"/>
          <w:numId w:val="1010"/>
        </w:numPr>
        <w:pStyle w:val="Compact"/>
      </w:pPr>
      <w:r>
        <w:t xml:space="preserve">Descripción. Funcionamiento básico de la aplicación de software.</w:t>
      </w:r>
    </w:p>
    <w:p>
      <w:pPr>
        <w:numPr>
          <w:ilvl w:val="0"/>
          <w:numId w:val="1010"/>
        </w:numPr>
        <w:pStyle w:val="Compact"/>
      </w:pPr>
      <w:r>
        <w:t xml:space="preserve">Estado: [En producción, en desmantelamiento, en implementación, Inactiva]</w:t>
      </w:r>
    </w:p>
    <w:p>
      <w:pPr>
        <w:numPr>
          <w:ilvl w:val="0"/>
          <w:numId w:val="1010"/>
        </w:numPr>
        <w:pStyle w:val="Compact"/>
      </w:pPr>
      <w:r>
        <w:t xml:space="preserve">Categoría: [Sistema de apoyo al negocio (misional), herramienta de gestión, Ofimática, Seguridad]</w:t>
      </w:r>
    </w:p>
    <w:p>
      <w:pPr>
        <w:numPr>
          <w:ilvl w:val="0"/>
          <w:numId w:val="1010"/>
        </w:numPr>
        <w:pStyle w:val="Compact"/>
      </w:pPr>
      <w:r>
        <w:t xml:space="preserve">Proceso(s) de Negocio Clave(s)</w:t>
      </w:r>
    </w:p>
    <w:p>
      <w:pPr>
        <w:numPr>
          <w:ilvl w:val="0"/>
          <w:numId w:val="1010"/>
        </w:numPr>
        <w:pStyle w:val="Compact"/>
      </w:pPr>
      <w:r>
        <w:t xml:space="preserve">Capacidad: Capacidades de nivel 2 relacionadas con la aplicación de software.</w:t>
      </w:r>
    </w:p>
    <w:p>
      <w:pPr>
        <w:numPr>
          <w:ilvl w:val="0"/>
          <w:numId w:val="1010"/>
        </w:numPr>
        <w:pStyle w:val="Compact"/>
      </w:pPr>
      <w:r>
        <w:t xml:space="preserve">Tipo de aplicación: Web, Móvil, Cliente Servidor</w:t>
      </w:r>
    </w:p>
    <w:p>
      <w:pPr>
        <w:numPr>
          <w:ilvl w:val="0"/>
          <w:numId w:val="1010"/>
        </w:numPr>
        <w:pStyle w:val="Compact"/>
      </w:pPr>
      <w:r>
        <w:t xml:space="preserve">Método de despliegue: on-premises, cloud SAAS, cloud PAAS, cloud IAAS</w:t>
      </w:r>
    </w:p>
    <w:p>
      <w:pPr>
        <w:numPr>
          <w:ilvl w:val="0"/>
          <w:numId w:val="1010"/>
        </w:numPr>
        <w:pStyle w:val="Compact"/>
      </w:pPr>
      <w:r>
        <w:t xml:space="preserve">Tecnología. Aspectos técnicos de la aplicación de software.</w:t>
      </w:r>
    </w:p>
    <w:p>
      <w:pPr>
        <w:numPr>
          <w:ilvl w:val="0"/>
          <w:numId w:val="1010"/>
        </w:numPr>
        <w:pStyle w:val="Compact"/>
      </w:pPr>
      <w:r>
        <w:t xml:space="preserve">Versión actual de la tecnología</w:t>
      </w:r>
    </w:p>
    <w:p>
      <w:pPr>
        <w:numPr>
          <w:ilvl w:val="0"/>
          <w:numId w:val="1010"/>
        </w:numPr>
        <w:pStyle w:val="Compact"/>
      </w:pPr>
      <w:r>
        <w:t xml:space="preserve">Responsable técnico en la entidad</w:t>
      </w:r>
    </w:p>
    <w:p>
      <w:pPr>
        <w:numPr>
          <w:ilvl w:val="0"/>
          <w:numId w:val="1010"/>
        </w:numPr>
        <w:pStyle w:val="Compact"/>
      </w:pPr>
      <w:r>
        <w:t xml:space="preserve">Responsable funcional en la entidad</w:t>
      </w:r>
    </w:p>
    <w:p>
      <w:pPr>
        <w:numPr>
          <w:ilvl w:val="0"/>
          <w:numId w:val="1010"/>
        </w:numPr>
        <w:pStyle w:val="Compact"/>
      </w:pPr>
      <w:r>
        <w:t xml:space="preserve">Fabricante</w:t>
      </w:r>
    </w:p>
    <w:p>
      <w:pPr>
        <w:numPr>
          <w:ilvl w:val="0"/>
          <w:numId w:val="1010"/>
        </w:numPr>
        <w:pStyle w:val="Compact"/>
      </w:pPr>
      <w:r>
        <w:t xml:space="preserve">Proveedor de soporte externo</w:t>
      </w:r>
    </w:p>
    <w:p>
      <w:pPr>
        <w:numPr>
          <w:ilvl w:val="0"/>
          <w:numId w:val="1010"/>
        </w:numPr>
        <w:pStyle w:val="Compact"/>
      </w:pPr>
      <w:r>
        <w:t xml:space="preserve">Fecha de vigencia de soporte externo</w:t>
      </w:r>
    </w:p>
    <w:p>
      <w:pPr>
        <w:numPr>
          <w:ilvl w:val="0"/>
          <w:numId w:val="1010"/>
        </w:numPr>
        <w:pStyle w:val="Compact"/>
      </w:pPr>
      <w:r>
        <w:t xml:space="preserve">Nombre de servidor. Nombre de red del entorno o nodo contenedor de la aplicación de software.</w:t>
      </w:r>
    </w:p>
    <w:p>
      <w:pPr>
        <w:numPr>
          <w:ilvl w:val="0"/>
          <w:numId w:val="1010"/>
        </w:numPr>
        <w:pStyle w:val="Compact"/>
      </w:pPr>
      <w:r>
        <w:t xml:space="preserve">Criticidad de negocio</w:t>
      </w:r>
    </w:p>
    <w:p>
      <w:pPr>
        <w:pStyle w:val="FirstParagraph"/>
      </w:pPr>
      <w:r>
        <w:t xml:space="preserve">El Catálogo de aplicaciones de SG procura beneficios estratégicos y operativos:</w:t>
      </w:r>
    </w:p>
    <w:p>
      <w:pPr>
        <w:numPr>
          <w:ilvl w:val="0"/>
          <w:numId w:val="1011"/>
        </w:numPr>
        <w:pStyle w:val="Compact"/>
      </w:pPr>
      <w:r>
        <w:t xml:space="preserve">Unifica la documentación y la comunicación: Es un artefacto clave para documentar, comprender y comunicar el panorama actual y futuro de las aplicaciones.</w:t>
      </w:r>
    </w:p>
    <w:p>
      <w:pPr>
        <w:numPr>
          <w:ilvl w:val="0"/>
          <w:numId w:val="1011"/>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1"/>
        </w:numPr>
        <w:pStyle w:val="Compact"/>
      </w:pPr>
      <w:r>
        <w:t xml:space="preserve">Facilita la actualización continua: Permite la actualización continua de las características y atributos relevantes de los sistemas de información.</w:t>
      </w:r>
    </w:p>
    <w:bookmarkEnd w:id="37"/>
    <w:bookmarkEnd w:id="38"/>
    <w:bookmarkStart w:id="41"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9" w:name="X0df826688284cd25e4c21a65bb3f4c7a3af0621"/>
    <w:p>
      <w:pPr>
        <w:pStyle w:val="Heading4"/>
      </w:pPr>
      <w:r>
        <w:t xml:space="preserve">Necesidades de Transformación Digital y Tecnológica</w:t>
      </w:r>
    </w:p>
    <w:p>
      <w:pPr>
        <w:pStyle w:val="FirstParagraph"/>
      </w:pPr>
      <w:r>
        <w:t xml:space="preserve">La transformación digital (objetivo estratégico de SG) es un motor fundamental para alinear las estrategias, procesos y tecnologías de la Secretaría General. Esta transformación busca:</w:t>
      </w:r>
    </w:p>
    <w:p>
      <w:pPr>
        <w:numPr>
          <w:ilvl w:val="0"/>
          <w:numId w:val="1012"/>
        </w:numPr>
      </w:pPr>
      <w:r>
        <w:t xml:space="preserve">Impulsar la transformación digital para alinear estrategias, procesos y tecnologías, que resulte en el aumento de eficiencia de la gestión pública.</w:t>
      </w:r>
    </w:p>
    <w:p>
      <w:pPr>
        <w:numPr>
          <w:ilvl w:val="0"/>
          <w:numId w:val="1012"/>
        </w:numPr>
      </w:pPr>
      <w:r>
        <w:t xml:space="preserve">Cerrar las brechas en la Política de Gobierno Digital, de la cual la Arquitectura Empresarial es un habilitador clave.</w:t>
      </w:r>
    </w:p>
    <w:p>
      <w:pPr>
        <w:numPr>
          <w:ilvl w:val="0"/>
          <w:numId w:val="1012"/>
        </w:numPr>
      </w:pPr>
      <w:r>
        <w:t xml:space="preserve">Modernizar la infraestructura tecnológica que resulte del análisis de obsolescencia para asegurar su continuidad y disponibilidad.</w:t>
      </w:r>
    </w:p>
    <w:p>
      <w:pPr>
        <w:numPr>
          <w:ilvl w:val="0"/>
          <w:numId w:val="1012"/>
        </w:numPr>
      </w:pPr>
      <w:r>
        <w:t xml:space="preserve">Integrar plataformas y ecosistemas digitales y superar la falta de interoperabilidad.</w:t>
      </w:r>
    </w:p>
    <w:p>
      <w:pPr>
        <w:numPr>
          <w:ilvl w:val="0"/>
          <w:numId w:val="1012"/>
        </w:numPr>
      </w:pPr>
      <w:r>
        <w:t xml:space="preserve">Aumentar la automatización de los trámites digitales.</w:t>
      </w:r>
    </w:p>
    <w:p>
      <w:pPr>
        <w:numPr>
          <w:ilvl w:val="0"/>
          <w:numId w:val="1012"/>
        </w:numPr>
      </w:pPr>
      <w:r>
        <w:t xml:space="preserve">Estandarizar la gestión y gobernanza de datos públicos.</w:t>
      </w:r>
    </w:p>
    <w:p>
      <w:pPr>
        <w:numPr>
          <w:ilvl w:val="0"/>
          <w:numId w:val="1012"/>
        </w:numPr>
      </w:pPr>
      <w:r>
        <w:t xml:space="preserve">Mejorar el soporte que los SI dan a la toma de decisiones basada en evidencia.</w:t>
      </w:r>
    </w:p>
    <w:p>
      <w:pPr>
        <w:numPr>
          <w:ilvl w:val="0"/>
          <w:numId w:val="1012"/>
        </w:numPr>
      </w:pPr>
      <w:r>
        <w:t xml:space="preserve">Generar análisis predictivos y prospectivos de resultados de gestión, que son insumos para la toma de decisiones.</w:t>
      </w:r>
    </w:p>
    <w:p>
      <w:pPr>
        <w:numPr>
          <w:ilvl w:val="0"/>
          <w:numId w:val="1012"/>
        </w:numPr>
      </w:pPr>
      <w:r>
        <w:t xml:space="preserve">Contar con disponibilidad de personal adecuado para actualizar plataformas tecnológicas y gestionar las cargas de trabajo.</w:t>
      </w:r>
    </w:p>
    <w:p>
      <w:pPr>
        <w:numPr>
          <w:ilvl w:val="0"/>
          <w:numId w:val="1012"/>
        </w:numPr>
      </w:pPr>
      <w:r>
        <w:t xml:space="preserve">Aprovechar nuevas tecnologías como la Inteligencia Artificial, la minería de datos, el procesamiento del lenguaje, para mejorar los procesos y la relación con la ciudadanía.</w:t>
      </w:r>
    </w:p>
    <w:p>
      <w:pPr>
        <w:numPr>
          <w:ilvl w:val="0"/>
          <w:numId w:val="1012"/>
        </w:numPr>
      </w:pPr>
      <w:r>
        <w:t xml:space="preserve">Abordar los altos costos de la tecnología que limitan la implementación de sistemas avanzados. (??)</w:t>
      </w:r>
    </w:p>
    <w:p>
      <w:pPr>
        <w:numPr>
          <w:ilvl w:val="0"/>
          <w:numId w:val="1012"/>
        </w:numPr>
      </w:pPr>
      <w:r>
        <w:t xml:space="preserve">Fortalecer la ciberseguridad y seguridad de la información para proteger la integridad, disponibilidad y confidencialidad de los datos y prevenir ataques.</w:t>
      </w:r>
    </w:p>
    <w:bookmarkEnd w:id="39"/>
    <w:bookmarkStart w:id="40" w:name="X855fba75e1835d0318ef9de7cdb696c62d7b8dc"/>
    <w:p>
      <w:pPr>
        <w:pStyle w:val="Heading4"/>
      </w:pPr>
      <w:r>
        <w:t xml:space="preserve">Necesidades Específicas del Dominio de Aplicaciones de software</w:t>
      </w:r>
    </w:p>
    <w:p>
      <w:pPr>
        <w:pStyle w:val="FirstParagraph"/>
      </w:pPr>
      <w:r>
        <w:t xml:space="preserve">Esta tipo de necesidades refiere al comportamiento de las aplicaciones que apoyan la misionalidad, a su estructura, y su relación con los objetos de datos que utilizan.</w:t>
      </w:r>
    </w:p>
    <w:p>
      <w:pPr>
        <w:pStyle w:val="BodyText"/>
      </w:pPr>
      <w:r>
        <w:t xml:space="preserve">Para los Componentes de Aplicación (Application Component) y Servicios de Aplicación (Application Service) de SG:</w:t>
      </w:r>
    </w:p>
    <w:p>
      <w:pPr>
        <w:numPr>
          <w:ilvl w:val="0"/>
          <w:numId w:val="1013"/>
        </w:numPr>
        <w:pStyle w:val="Compact"/>
      </w:pPr>
      <w:r>
        <w:t xml:space="preserve">Adquirir software especializado en análisis de datos: implica la necesidad de incorporar de nuevos componentes de aplicación (Application Component).</w:t>
      </w:r>
    </w:p>
    <w:p>
      <w:pPr>
        <w:numPr>
          <w:ilvl w:val="0"/>
          <w:numId w:val="1013"/>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3"/>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40"/>
    <w:bookmarkEnd w:id="41"/>
    <w:bookmarkStart w:id="42" w:name="sec:preocupaciones-si-de-sg"/>
    <w:p>
      <w:pPr>
        <w:pStyle w:val="Heading3"/>
      </w:pPr>
      <w:r>
        <w:t xml:space="preserve">Preocupaciones SI de SG</w:t>
      </w:r>
    </w:p>
    <w:bookmarkEnd w:id="42"/>
    <w:bookmarkEnd w:id="43"/>
    <w:bookmarkStart w:id="45" w:name="X4ce59760dcae7d23f2a234dd6ed8e44c9ff0d48"/>
    <w:p>
      <w:pPr>
        <w:pStyle w:val="Heading2"/>
      </w:pPr>
      <w:r>
        <w:t xml:space="preserve">Identificar necesidades, preocupaciones y oportunidades</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SG relacionadas con el dominio de sistemas de información, dentro del alcance de este ejercicio.</w:t>
      </w:r>
    </w:p>
    <w:p>
      <w:pPr>
        <w:pStyle w:val="BodyText"/>
      </w:pPr>
      <w:r>
        <w:t xml:space="preserve">Las preocupaciones tecnológicas respecto de los sistemas de información de SG mencionadas en estas fuentes señalan:</w:t>
      </w:r>
    </w:p>
    <w:p>
      <w:pPr>
        <w:numPr>
          <w:ilvl w:val="0"/>
          <w:numId w:val="1014"/>
        </w:numPr>
        <w:pStyle w:val="Compact"/>
      </w:pPr>
      <w:r>
        <w:t xml:space="preserve">Deficiente apropiación del conocimiento en procesos de tecnologías de la información, lo que genera demora en la solución de los servicios de tecnologías de la información.</w:t>
      </w:r>
    </w:p>
    <w:p>
      <w:pPr>
        <w:numPr>
          <w:ilvl w:val="0"/>
          <w:numId w:val="1014"/>
        </w:numPr>
        <w:pStyle w:val="Compact"/>
      </w:pPr>
      <w:r>
        <w:t xml:space="preserve">Equipos tecnológicos en proceso de mitigar la obsolescencia, que generan dificultad en la ejecución de las actividades que desarrolla la entidad.</w:t>
      </w:r>
    </w:p>
    <w:p>
      <w:pPr>
        <w:numPr>
          <w:ilvl w:val="0"/>
          <w:numId w:val="1014"/>
        </w:numPr>
        <w:pStyle w:val="Compact"/>
      </w:pPr>
      <w:r>
        <w:t xml:space="preserve">Fallas recurrentes en el funcionamiento de los sistemas de información y plataformas tecnológicas de la entidad, que afectan la continuidad del servicio y generan retrasos y reprocesos en la ejecución de las actividades.</w:t>
      </w:r>
    </w:p>
    <w:p>
      <w:pPr>
        <w:numPr>
          <w:ilvl w:val="0"/>
          <w:numId w:val="1014"/>
        </w:numPr>
        <w:pStyle w:val="Compact"/>
      </w:pPr>
      <w:r>
        <w:t xml:space="preserve">Insuficiencia en la capacidad de las herramientas tecnológicas de la entidad que pueden obstaculizar el avance de los iniciativas en marcha de la SG.</w:t>
      </w:r>
    </w:p>
    <w:p>
      <w:pPr>
        <w:numPr>
          <w:ilvl w:val="0"/>
          <w:numId w:val="1014"/>
        </w:numPr>
        <w:pStyle w:val="Compact"/>
      </w:pPr>
      <w:r>
        <w:t xml:space="preserve">Debilidad en la capacidad de extraer información dinámica que sirva como insumo para la toma de decisiones basado en evidencia.</w:t>
      </w:r>
    </w:p>
    <w:p>
      <w:pPr>
        <w:numPr>
          <w:ilvl w:val="0"/>
          <w:numId w:val="1014"/>
        </w:numPr>
        <w:pStyle w:val="Compact"/>
      </w:pPr>
      <w:r>
        <w:t xml:space="preserve">Se realizan análisis de datos descriptivos aislados, pero no predictivos y prospectivos de los resultados de la gestión de la entidad, lo que dificulta la toma de decisiones basada en evidencia.</w:t>
      </w:r>
    </w:p>
    <w:p>
      <w:pPr>
        <w:numPr>
          <w:ilvl w:val="0"/>
          <w:numId w:val="1014"/>
        </w:numPr>
        <w:pStyle w:val="Compact"/>
      </w:pPr>
      <w:r>
        <w:t xml:space="preserve">Falta de personal para actualizar las plataformas tecnológicas, lo que genera retrasos en la operación de la entidad.</w:t>
      </w:r>
    </w:p>
    <w:p>
      <w:pPr>
        <w:numPr>
          <w:ilvl w:val="0"/>
          <w:numId w:val="1014"/>
        </w:numPr>
        <w:pStyle w:val="Compact"/>
      </w:pPr>
      <w:r>
        <w:t xml:space="preserve">Deficiente conectividad y falta de interoperabilidad de las plataformas tecnológicas.</w:t>
      </w:r>
    </w:p>
    <w:p>
      <w:pPr>
        <w:numPr>
          <w:ilvl w:val="0"/>
          <w:numId w:val="1014"/>
        </w:numPr>
        <w:pStyle w:val="Compact"/>
      </w:pPr>
      <w:r>
        <w:t xml:space="preserve">Cambios en las plataformas tecnológicas que no interactúan con las anteriores, lo cual expone a la SG a posibles pérdidas de información y reprocesos.</w:t>
      </w:r>
    </w:p>
    <w:p>
      <w:pPr>
        <w:numPr>
          <w:ilvl w:val="0"/>
          <w:numId w:val="1014"/>
        </w:numPr>
        <w:pStyle w:val="Compact"/>
      </w:pPr>
      <w:r>
        <w:t xml:space="preserve">Apostar más en la mejora continua de la inestabilidad de la conectividad, indisponibilidad de servidores de información y vulnerabilidad en la seguridad informática; lo contrario puede comprometer la operatividad, la integridad de los datos críticos de la entidad y el cumplimiento de las metas.</w:t>
      </w:r>
    </w:p>
    <w:p>
      <w:pPr>
        <w:numPr>
          <w:ilvl w:val="0"/>
          <w:numId w:val="1014"/>
        </w:numPr>
        <w:pStyle w:val="Compact"/>
      </w:pPr>
      <w:r>
        <w:t xml:space="preserve">Potencial y rápida obsolescencia tecnológica que implica la necesidad de renovación de los equipos y dificulta la prestación de los servicios de la entidad.</w:t>
      </w:r>
    </w:p>
    <w:p>
      <w:pPr>
        <w:numPr>
          <w:ilvl w:val="0"/>
          <w:numId w:val="1014"/>
        </w:numPr>
        <w:pStyle w:val="Compact"/>
      </w:pPr>
      <w:r>
        <w:t xml:space="preserve">Los altos costos de la tecnología pueden limitar la capacidad de la entidad para implementar y mantener sistemas avanzados y eficientes.</w:t>
      </w:r>
    </w:p>
    <w:bookmarkStart w:id="44"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SG.</w:t>
      </w:r>
    </w:p>
    <w:p>
      <w:pPr>
        <w:pStyle w:val="BodyText"/>
      </w:pPr>
      <w:r>
        <w:t xml:space="preserve">Las oportunidades tecnológicas y de mejora de sistemas de información mencionadas indicadas en estas fuentes se centran en:</w:t>
      </w:r>
    </w:p>
    <w:p>
      <w:pPr>
        <w:numPr>
          <w:ilvl w:val="0"/>
          <w:numId w:val="1015"/>
        </w:numPr>
      </w:pPr>
      <w:r>
        <w:t xml:space="preserve">Modernización de la infraestructura y sistemas tecnológicos</w:t>
      </w:r>
    </w:p>
    <w:p>
      <w:pPr>
        <w:numPr>
          <w:ilvl w:val="1"/>
          <w:numId w:val="1016"/>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6"/>
        </w:numPr>
        <w:pStyle w:val="Compact"/>
      </w:pPr>
      <w:r>
        <w:t xml:space="preserve">Una oportunidad es la adquisición y puesta en producción de software especializado en análisis de datos para la toma de decisiones que ya poseen otras entidades.</w:t>
      </w:r>
    </w:p>
    <w:p>
      <w:pPr>
        <w:numPr>
          <w:ilvl w:val="0"/>
          <w:numId w:val="1015"/>
        </w:numPr>
      </w:pPr>
      <w:r>
        <w:t xml:space="preserve">Integración y automatización de procesos</w:t>
      </w:r>
    </w:p>
    <w:p>
      <w:pPr>
        <w:numPr>
          <w:ilvl w:val="1"/>
          <w:numId w:val="1017"/>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7"/>
        </w:numPr>
        <w:pStyle w:val="Compact"/>
      </w:pPr>
      <w:r>
        <w:t xml:space="preserve">Se buscan mejores controles e integración de sistemas distritales con los canales de la Secretaría General.</w:t>
      </w:r>
    </w:p>
    <w:p>
      <w:pPr>
        <w:numPr>
          <w:ilvl w:val="1"/>
          <w:numId w:val="1017"/>
        </w:numPr>
        <w:pStyle w:val="Compact"/>
      </w:pPr>
      <w:r>
        <w:t xml:space="preserve">También se necesitan mejores controles e integración de los sistemas de gestión como los sistemas GLOBO (de gestión internacional), el sistema de proyectos GLPI.</w:t>
      </w:r>
    </w:p>
    <w:p>
      <w:pPr>
        <w:numPr>
          <w:ilvl w:val="0"/>
          <w:numId w:val="1015"/>
        </w:numPr>
      </w:pPr>
      <w:r>
        <w:t xml:space="preserve">Mejora de la comunicación pública a través de medios digitales</w:t>
      </w:r>
    </w:p>
    <w:p>
      <w:pPr>
        <w:numPr>
          <w:ilvl w:val="1"/>
          <w:numId w:val="1018"/>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18"/>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18"/>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0"/>
          <w:numId w:val="1015"/>
        </w:numPr>
      </w:pPr>
      <w:r>
        <w:t xml:space="preserve">capacitación en nuevas tecnologías y</w:t>
      </w:r>
    </w:p>
    <w:p>
      <w:pPr>
        <w:numPr>
          <w:ilvl w:val="0"/>
          <w:numId w:val="1015"/>
        </w:numPr>
      </w:pPr>
      <w:r>
        <w:t xml:space="preserve">Implementación de la Arquitectura Empresarial como estrategia para impulsar la transformación digital y la eficiencia en la gestión pública de la SG</w:t>
      </w:r>
    </w:p>
    <w:p>
      <w:pPr>
        <w:numPr>
          <w:ilvl w:val="1"/>
          <w:numId w:val="1019"/>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19"/>
        </w:numPr>
        <w:pStyle w:val="Compact"/>
      </w:pPr>
      <w:r>
        <w:t xml:space="preserve">Es requerido que este ejercicio beneficie a la SG con la entrega de activos como hojas de ruta, catálogos y caracterización de los sistemas de información, matrices de interacción, entre otros.</w:t>
      </w:r>
    </w:p>
    <w:bookmarkEnd w:id="44"/>
    <w:bookmarkEnd w:id="45"/>
    <w:bookmarkEnd w:id="46"/>
    <w:sectPr w:rsidR="00CD4570" w:rsidSect="00DA0B8C">
      <w:headerReference r:id="rId9" w:type="default"/>
      <w:footerReference r:id="rId11" w:type="even"/>
      <w:footerReference r:id="rId10" w:type="default"/>
      <w:pgSz w:h="15840" w:w="12240"/>
      <w:pgMar w:bottom="1440" w:footer="720" w:gutter="288" w:header="720" w:left="1080" w:right="108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inion Pro">
    <w:altName w:val="Cambria"/>
    <w:panose1 w:val="020B0604020202020204"/>
    <w:charset w:val="00"/>
    <w:family w:val="roman"/>
    <w:notTrueType/>
    <w:pitch w:val="variable"/>
    <w:sig w:usb0="60000287" w:usb1="00000001" w:usb2="00000000" w:usb3="00000000" w:csb0="0000019F" w:csb1="00000000"/>
  </w:font>
  <w:font w:name="Myriad Pro Semibold Condensed">
    <w:altName w:val="Segoe UI"/>
    <w:panose1 w:val="020B0604020202020204"/>
    <w:charset w:val="00"/>
    <w:family w:val="swiss"/>
    <w:notTrueType/>
    <w:pitch w:val="variable"/>
    <w:sig w:usb0="20000287" w:usb1="00000001"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yriad Pro SemiCondensed">
    <w:altName w:val="Segoe UI"/>
    <w:panose1 w:val="020B0604020202020204"/>
    <w:charset w:val="00"/>
    <w:family w:val="swiss"/>
    <w:notTrueType/>
    <w:pitch w:val="variable"/>
    <w:sig w:usb0="20000287" w:usb1="00000001" w:usb2="00000000" w:usb3="00000000" w:csb0="0000019F" w:csb1="00000000"/>
  </w:font>
  <w:font w:name="Myriad Pro Light SemiCondensed">
    <w:altName w:val="Segoe UI Light"/>
    <w:panose1 w:val="020B0604020202020204"/>
    <w:charset w:val="00"/>
    <w:family w:val="swiss"/>
    <w:notTrueType/>
    <w:pitch w:val="variable"/>
    <w:sig w:usb0="20000287" w:usb1="00000001" w:usb2="00000000" w:usb3="00000000" w:csb0="0000019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Myriad Pro Semibold SemiCondens">
    <w:altName w:val="Segoe UI"/>
    <w:panose1 w:val="020B0604020202020204"/>
    <w:charset w:val="00"/>
    <w:family w:val="swiss"/>
    <w:notTrueType/>
    <w:pitch w:val="variable"/>
    <w:sig w:usb0="20000287" w:usb1="00000001" w:usb2="00000000" w:usb3="00000000" w:csb0="0000019F" w:csb1="00000000"/>
  </w:font>
  <w:font w:name="Myriad Pro">
    <w:altName w:val="Segoe UI"/>
    <w:panose1 w:val="020B0604020202020204"/>
    <w:charset w:val="00"/>
    <w:family w:val="swiss"/>
    <w:notTrueType/>
    <w:pitch w:val="variable"/>
    <w:sig w:usb0="A00002AF" w:usb1="5000204B" w:usb2="00000000" w:usb3="00000000" w:csb0="0000019F" w:csb1="00000000"/>
  </w:font>
  <w:font w:name="Courier New">
    <w:panose1 w:val="02070309020205020404"/>
    <w:charset w:val="00"/>
    <w:family w:val="modern"/>
    <w:pitch w:val="fixed"/>
    <w:sig w:usb0="E0002AFF" w:usb1="C0007843" w:usb2="00000009" w:usb3="00000000" w:csb0="000001FF" w:csb1="00000000"/>
  </w:font>
  <w:font w:name="Minion Pro Cond">
    <w:altName w:val="Cambria"/>
    <w:panose1 w:val="020B0604020202020204"/>
    <w:charset w:val="00"/>
    <w:family w:val="roman"/>
    <w:notTrueType/>
    <w:pitch w:val="variable"/>
    <w:sig w:usb0="60000287" w:usb1="00000001" w:usb2="00000000" w:usb3="00000000" w:csb0="0000019F" w:csb1="00000000"/>
  </w:font>
  <w:font w:name="Minion Pro Caption">
    <w:altName w:val="Cambria"/>
    <w:panose1 w:val="020B0604020202020204"/>
    <w:charset w:val="00"/>
    <w:family w:val="roman"/>
    <w:notTrueType/>
    <w:pitch w:val="variable"/>
    <w:sig w:usb0="60000287" w:usb1="00000001" w:usb2="00000000" w:usb3="00000000" w:csb0="0000019F" w:csb1="00000000"/>
  </w:font>
  <w:font w:name="Minion Pro Cond Italic Caption">
    <w:altName w:val="Cambria"/>
    <w:panose1 w:val="020B0604020202020204"/>
    <w:charset w:val="00"/>
    <w:family w:val="roman"/>
    <w:notTrueType/>
    <w:pitch w:val="variable"/>
    <w:sig w:usb0="60000287" w:usb1="00000001" w:usb2="00000000" w:usb3="00000000" w:csb0="0000019F" w:csb1="00000000"/>
  </w:font>
  <w:font w:name="Iosevka Type">
    <w:altName w:val="Segoe UI Symbol"/>
    <w:panose1 w:val="020B0604020202020204"/>
    <w:charset w:val="00"/>
    <w:family w:val="modern"/>
    <w:pitch w:val="fixed"/>
    <w:sig w:usb0="E00002FF" w:usb1="5001FCFB" w:usb2="00040010" w:usb3="00000000" w:csb0="0000011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2179918"/>
      <w:docPartObj>
        <w:docPartGallery w:val="Page Numbers (Bottom of Page)"/>
        <w:docPartUnique/>
      </w:docPartObj>
    </w:sdtPr>
    <w:sdtContent>
      <w:p w14:paraId="1C8F9537" w14:textId="257F2CB7"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08A6853" w14:textId="77777777" w:rsidR="003064EE" w:rsidRDefault="003064EE" w:rsidP="003064E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43770471"/>
      <w:docPartObj>
        <w:docPartGallery w:val="Page Numbers (Bottom of Page)"/>
        <w:docPartUnique/>
      </w:docPartObj>
    </w:sdtPr>
    <w:sdtContent>
      <w:p w14:paraId="6E3F5B7A" w14:textId="6112E84F" w:rsidR="003064EE" w:rsidRDefault="003064EE" w:rsidP="00060AA9">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BC1813D" w14:textId="77777777" w:rsidR="008378A7" w:rsidRPr="0053443C" w:rsidRDefault="008378A7" w:rsidP="008378A7">
    <w:pPr>
      <w:autoSpaceDE w:val="0"/>
      <w:autoSpaceDN w:val="0"/>
      <w:adjustRightInd w:val="0"/>
      <w:spacing w:after="0" w:line="240" w:lineRule="auto"/>
      <w:jc w:val="center"/>
      <w:rPr>
        <w:rFonts w:ascii="Arial" w:hAnsi="Arial" w:cs="Arial"/>
        <w:sz w:val="18"/>
        <w:szCs w:val="18"/>
        <w:lang w:eastAsia="es-CO"/>
      </w:rPr>
    </w:pPr>
    <w:r>
      <w:rPr>
        <w:rFonts w:ascii="Arial" w:hAnsi="Arial" w:cs="Arial"/>
        <w:sz w:val="18"/>
        <w:szCs w:val="18"/>
        <w:lang w:eastAsia="es-CO"/>
      </w:rPr>
      <w:t xml:space="preserve">Calle 63A # 19A - 12 </w:t>
    </w:r>
    <w:proofErr w:type="spellStart"/>
    <w:r w:rsidRPr="0053443C">
      <w:rPr>
        <w:rFonts w:ascii="Arial" w:hAnsi="Arial" w:cs="Arial"/>
        <w:sz w:val="18"/>
        <w:szCs w:val="18"/>
        <w:lang w:eastAsia="es-CO"/>
      </w:rPr>
      <w:t>Teléfono</w:t>
    </w:r>
    <w:proofErr w:type="spellEnd"/>
    <w:r>
      <w:rPr>
        <w:rFonts w:ascii="Arial" w:hAnsi="Arial" w:cs="Arial"/>
        <w:sz w:val="18"/>
        <w:szCs w:val="18"/>
        <w:lang w:eastAsia="es-CO"/>
      </w:rPr>
      <w:t xml:space="preserve"> (57) 3153849407</w:t>
    </w:r>
  </w:p>
  <w:p w14:paraId="0987C892" w14:textId="77777777" w:rsidR="008378A7" w:rsidRDefault="008378A7" w:rsidP="008378A7">
    <w:pPr>
      <w:autoSpaceDE w:val="0"/>
      <w:autoSpaceDN w:val="0"/>
      <w:adjustRightInd w:val="0"/>
      <w:spacing w:after="0" w:line="240" w:lineRule="auto"/>
      <w:jc w:val="center"/>
      <w:rPr>
        <w:rFonts w:ascii="Arial" w:hAnsi="Arial" w:cs="Arial"/>
        <w:sz w:val="20"/>
        <w:szCs w:val="20"/>
        <w:lang w:val="pt-BR" w:eastAsia="es-CO"/>
      </w:rPr>
    </w:pPr>
    <w:r w:rsidRPr="0053443C">
      <w:rPr>
        <w:rFonts w:ascii="Arial" w:hAnsi="Arial" w:cs="Arial"/>
        <w:sz w:val="20"/>
        <w:szCs w:val="20"/>
        <w:lang w:val="pt-BR" w:eastAsia="es-CO"/>
      </w:rPr>
      <w:t xml:space="preserve">* E-mail: </w:t>
    </w:r>
    <w:r>
      <w:rPr>
        <w:rFonts w:ascii="Arial" w:hAnsi="Arial" w:cs="Arial"/>
        <w:sz w:val="20"/>
        <w:szCs w:val="20"/>
        <w:lang w:val="pt-BR" w:eastAsia="es-CO"/>
      </w:rPr>
      <w:t>info@</w:t>
    </w:r>
    <w:r w:rsidRPr="0034069F">
      <w:rPr>
        <w:rFonts w:ascii="Arial" w:hAnsi="Arial" w:cs="Arial"/>
        <w:sz w:val="20"/>
        <w:szCs w:val="20"/>
        <w:lang w:val="pt-BR" w:eastAsia="es-CO"/>
      </w:rPr>
      <w:t>softproductiva.com</w:t>
    </w:r>
    <w:r w:rsidRPr="0053443C">
      <w:rPr>
        <w:rFonts w:ascii="Arial" w:hAnsi="Arial" w:cs="Arial"/>
        <w:sz w:val="20"/>
        <w:szCs w:val="20"/>
        <w:lang w:val="pt-BR" w:eastAsia="es-CO"/>
      </w:rPr>
      <w:t>*</w:t>
    </w:r>
  </w:p>
  <w:p w14:paraId="58FC5FD0" w14:textId="413C4655" w:rsidR="003064EE" w:rsidRPr="008378A7" w:rsidRDefault="008378A7" w:rsidP="008378A7">
    <w:pPr>
      <w:autoSpaceDE w:val="0"/>
      <w:autoSpaceDN w:val="0"/>
      <w:adjustRightInd w:val="0"/>
      <w:spacing w:after="0" w:line="240" w:lineRule="auto"/>
      <w:jc w:val="center"/>
      <w:rPr>
        <w:rFonts w:ascii="Arial" w:hAnsi="Arial" w:cs="Arial"/>
        <w:b/>
        <w:sz w:val="20"/>
        <w:szCs w:val="20"/>
        <w:lang w:val="pt-BR" w:eastAsia="es-CO"/>
      </w:rPr>
    </w:pPr>
    <w:r w:rsidRPr="002C3FFA">
      <w:rPr>
        <w:rFonts w:ascii="Arial" w:hAnsi="Arial" w:cs="Arial"/>
        <w:b/>
        <w:sz w:val="20"/>
        <w:szCs w:val="20"/>
        <w:lang w:val="pt-BR" w:eastAsia="es-CO"/>
      </w:rPr>
      <w:t>NIT 900.152.475-1</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779789" w14:textId="7DA9D4DF" w:rsidR="008378A7" w:rsidRDefault="008378A7" w:rsidP="00E35CE5">
    <w:pPr>
      <w:pStyle w:val="Header"/>
      <w:tabs>
        <w:tab w:val="left" w:pos="2430"/>
        <w:tab w:val="left" w:pos="2700"/>
      </w:tabs>
      <w:jc w:val="center"/>
    </w:pPr>
    <w:r w:rsidRPr="006609C8">
      <w:rPr>
        <w:noProof/>
        <w:color w:val="FFFFFF"/>
        <w:lang w:eastAsia="es-CO"/>
      </w:rPr>
      <w:drawing>
        <wp:anchor distT="0" distB="0" distL="114300" distR="114300" simplePos="0" relativeHeight="251658240" behindDoc="0" locked="0" layoutInCell="1" allowOverlap="1" wp14:anchorId="775873A2" wp14:editId="0172C5C6">
          <wp:simplePos x="0" y="0"/>
          <wp:positionH relativeFrom="column">
            <wp:posOffset>1684020</wp:posOffset>
          </wp:positionH>
          <wp:positionV relativeFrom="paragraph">
            <wp:posOffset>-381000</wp:posOffset>
          </wp:positionV>
          <wp:extent cx="2646680" cy="520065"/>
          <wp:effectExtent l="0" t="0" r="0" b="635"/>
          <wp:wrapThrough wrapText="bothSides">
            <wp:wrapPolygon edited="0">
              <wp:start x="8395" y="527"/>
              <wp:lineTo x="4664" y="2110"/>
              <wp:lineTo x="104" y="6857"/>
              <wp:lineTo x="104" y="20044"/>
              <wp:lineTo x="5182" y="21099"/>
              <wp:lineTo x="5908" y="21099"/>
              <wp:lineTo x="21455" y="20044"/>
              <wp:lineTo x="20626" y="10022"/>
              <wp:lineTo x="20729" y="5275"/>
              <wp:lineTo x="16791" y="2110"/>
              <wp:lineTo x="8914" y="527"/>
              <wp:lineTo x="8395" y="527"/>
            </wp:wrapPolygon>
          </wp:wrapThrough>
          <wp:docPr id="1733264629" name="3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3 Imagen"/>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46680" cy="52006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3050F87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8AA2D88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A0B27760"/>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AE0528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0242ECCC"/>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D6DEA84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60F87D8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44EA2DB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6FC076AC"/>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7AE29EE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49E6355C"/>
    <w:multiLevelType w:val="multilevel"/>
    <w:tmpl w:val="6A0EF80E"/>
    <w:lvl w:ilvl="0">
      <w:start w:val="1"/>
      <w:numFmt w:val="decimal"/>
      <w:pStyle w:val="Heading1"/>
      <w:lvlText w:val="%1."/>
      <w:lvlJc w:val="left"/>
      <w:pPr>
        <w:ind w:hanging="360" w:left="360"/>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804085470" w:numId="1">
    <w:abstractNumId w:val="10"/>
  </w:num>
  <w:num w16cid:durableId="2040474718" w:numId="2">
    <w:abstractNumId w:val="0"/>
  </w:num>
  <w:num w16cid:durableId="1760634308" w:numId="3">
    <w:abstractNumId w:val="1"/>
  </w:num>
  <w:num w16cid:durableId="821854148" w:numId="4">
    <w:abstractNumId w:val="2"/>
  </w:num>
  <w:num w16cid:durableId="1093284714" w:numId="5">
    <w:abstractNumId w:val="3"/>
  </w:num>
  <w:num w16cid:durableId="852036758" w:numId="6">
    <w:abstractNumId w:val="8"/>
  </w:num>
  <w:num w16cid:durableId="1976258658" w:numId="7">
    <w:abstractNumId w:val="4"/>
  </w:num>
  <w:num w16cid:durableId="1852714736" w:numId="8">
    <w:abstractNumId w:val="5"/>
  </w:num>
  <w:num w16cid:durableId="886453774" w:numId="9">
    <w:abstractNumId w:val="6"/>
  </w:num>
  <w:num w16cid:durableId="2078747256" w:numId="10">
    <w:abstractNumId w:val="7"/>
  </w:num>
  <w:num w16cid:durableId="143351314" w:numId="11">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efaultTabStop w:val="720"/>
  <w:drawingGridHorizontalSpacing w:val="120"/>
  <w:drawingGridVerticalSpacing w:val="163"/>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8"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5" w:semiHidden="1" w:unhideWhenUsed="1"/>
    <w:lsdException w:name="List Number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default="1" w:styleId="Normal" w:type="paragraph">
    <w:name w:val="Normal"/>
    <w:qFormat/>
    <w:rsid w:val="004213E1"/>
    <w:pPr>
      <w:spacing w:line="360" w:lineRule="auto"/>
    </w:pPr>
    <w:rPr>
      <w:rFonts w:ascii="Minion Pro" w:hAnsi="Minion Pro"/>
    </w:rPr>
  </w:style>
  <w:style w:styleId="Heading1" w:type="paragraph">
    <w:name w:val="heading 1"/>
    <w:basedOn w:val="Normal"/>
    <w:next w:val="BodyText"/>
    <w:uiPriority w:val="9"/>
    <w:qFormat/>
    <w:rsid w:val="001C203A"/>
    <w:pPr>
      <w:keepNext/>
      <w:keepLines/>
      <w:numPr>
        <w:numId w:val="1"/>
      </w:numPr>
      <w:spacing w:after="0" w:before="480" w:line="240" w:lineRule="auto"/>
      <w:outlineLvl w:val="0"/>
    </w:pPr>
    <w:rPr>
      <w:rFonts w:ascii="Myriad Pro Semibold Condensed" w:cstheme="majorBidi" w:eastAsiaTheme="majorEastAsia" w:hAnsi="Myriad Pro Semibold Condensed"/>
      <w:b/>
      <w:bCs/>
      <w:color w:themeColor="text1" w:val="000000"/>
      <w:sz w:val="40"/>
      <w:szCs w:val="32"/>
    </w:rPr>
  </w:style>
  <w:style w:styleId="Heading2" w:type="paragraph">
    <w:name w:val="heading 2"/>
    <w:basedOn w:val="Heading1"/>
    <w:next w:val="BodyText"/>
    <w:uiPriority w:val="9"/>
    <w:unhideWhenUsed/>
    <w:qFormat/>
    <w:rsid w:val="009A23FA"/>
    <w:pPr>
      <w:numPr>
        <w:ilvl w:val="1"/>
      </w:numPr>
      <w:ind w:hanging="578" w:left="578"/>
      <w:outlineLvl w:val="1"/>
    </w:pPr>
    <w:rPr>
      <w:rFonts w:ascii="Myriad Pro SemiCondensed" w:hAnsi="Myriad Pro SemiCondensed"/>
      <w:b w:val="0"/>
      <w:sz w:val="32"/>
    </w:rPr>
  </w:style>
  <w:style w:styleId="Heading3" w:type="paragraph">
    <w:name w:val="heading 3"/>
    <w:basedOn w:val="Heading2"/>
    <w:next w:val="BodyText"/>
    <w:uiPriority w:val="9"/>
    <w:unhideWhenUsed/>
    <w:qFormat/>
    <w:rsid w:val="0005637E"/>
    <w:pPr>
      <w:numPr>
        <w:ilvl w:val="2"/>
      </w:numPr>
      <w:outlineLvl w:val="2"/>
    </w:pPr>
    <w:rPr>
      <w:rFonts w:ascii="Myriad Pro Light SemiCondensed" w:hAnsi="Myriad Pro Light SemiCondensed"/>
      <w:bCs w:val="0"/>
      <w:sz w:val="28"/>
      <w:szCs w:val="28"/>
    </w:rPr>
  </w:style>
  <w:style w:styleId="Heading4" w:type="paragraph">
    <w:name w:val="heading 4"/>
    <w:basedOn w:val="Normal"/>
    <w:next w:val="BodyText"/>
    <w:uiPriority w:val="9"/>
    <w:unhideWhenUsed/>
    <w:qFormat/>
    <w:rsid w:val="00E60DE0"/>
    <w:pPr>
      <w:keepNext/>
      <w:keepLines/>
      <w:numPr>
        <w:ilvl w:val="3"/>
        <w:numId w:val="1"/>
      </w:numPr>
      <w:spacing w:after="0" w:before="200"/>
      <w:outlineLvl w:val="3"/>
    </w:pPr>
    <w:rPr>
      <w:rFonts w:ascii="Myriad Pro SemiCondensed" w:cstheme="majorBidi" w:eastAsiaTheme="majorEastAsia" w:hAnsi="Myriad Pro SemiCondensed"/>
      <w:bCs/>
      <w:color w:themeColor="text1" w:val="000000"/>
    </w:rPr>
  </w:style>
  <w:style w:styleId="Heading5" w:type="paragraph">
    <w:name w:val="heading 5"/>
    <w:basedOn w:val="Normal"/>
    <w:next w:val="BodyText"/>
    <w:uiPriority w:val="9"/>
    <w:unhideWhenUsed/>
    <w:qFormat/>
    <w:rsid w:val="00E60DE0"/>
    <w:pPr>
      <w:keepNext/>
      <w:keepLines/>
      <w:numPr>
        <w:ilvl w:val="4"/>
        <w:numId w:val="1"/>
      </w:numPr>
      <w:spacing w:after="0" w:before="200"/>
      <w:outlineLvl w:val="4"/>
    </w:pPr>
    <w:rPr>
      <w:rFonts w:ascii="Myriad Pro SemiCondensed" w:cstheme="majorBidi" w:eastAsiaTheme="majorEastAsia" w:hAnsi="Myriad Pro SemiCondensed"/>
      <w:iCs/>
      <w:color w:themeColor="text1" w:val="000000"/>
    </w:rPr>
  </w:style>
  <w:style w:styleId="Heading6" w:type="paragraph">
    <w:name w:val="heading 6"/>
    <w:basedOn w:val="Normal"/>
    <w:next w:val="BodyText"/>
    <w:uiPriority w:val="9"/>
    <w:unhideWhenUsed/>
    <w:qFormat/>
    <w:rsid w:val="00E60DE0"/>
    <w:pPr>
      <w:keepNext/>
      <w:keepLines/>
      <w:numPr>
        <w:ilvl w:val="5"/>
        <w:numId w:val="1"/>
      </w:numPr>
      <w:spacing w:after="0" w:before="200"/>
      <w:outlineLvl w:val="5"/>
    </w:pPr>
    <w:rPr>
      <w:rFonts w:ascii="Myriad Pro SemiCondensed" w:cstheme="majorBidi" w:eastAsiaTheme="majorEastAsia" w:hAnsi="Myriad Pro SemiCondensed"/>
      <w:color w:themeColor="text1" w:val="000000"/>
    </w:rPr>
  </w:style>
  <w:style w:styleId="Heading7" w:type="paragraph">
    <w:name w:val="heading 7"/>
    <w:basedOn w:val="Normal"/>
    <w:next w:val="BodyText"/>
    <w:uiPriority w:val="9"/>
    <w:unhideWhenUsed/>
    <w:qFormat/>
    <w:rsid w:val="00E60DE0"/>
    <w:pPr>
      <w:keepNext/>
      <w:keepLines/>
      <w:numPr>
        <w:ilvl w:val="6"/>
        <w:numId w:val="1"/>
      </w:numPr>
      <w:spacing w:after="0" w:before="200"/>
      <w:outlineLvl w:val="6"/>
    </w:pPr>
    <w:rPr>
      <w:rFonts w:ascii="Myriad Pro SemiCondensed" w:cstheme="majorBidi" w:eastAsiaTheme="majorEastAsia" w:hAnsi="Myriad Pro SemiCondensed"/>
      <w:color w:themeColor="text1" w:val="000000"/>
    </w:rPr>
  </w:style>
  <w:style w:styleId="Heading8" w:type="paragraph">
    <w:name w:val="heading 8"/>
    <w:basedOn w:val="Normal"/>
    <w:next w:val="BodyText"/>
    <w:uiPriority w:val="9"/>
    <w:unhideWhenUsed/>
    <w:qFormat/>
    <w:rsid w:val="00E60DE0"/>
    <w:pPr>
      <w:keepNext/>
      <w:keepLines/>
      <w:numPr>
        <w:ilvl w:val="7"/>
        <w:numId w:val="1"/>
      </w:numPr>
      <w:spacing w:after="0" w:before="200"/>
      <w:outlineLvl w:val="7"/>
    </w:pPr>
    <w:rPr>
      <w:rFonts w:ascii="Myriad Pro SemiCondensed" w:cstheme="majorBidi" w:eastAsiaTheme="majorEastAsia" w:hAnsi="Myriad Pro SemiCondensed"/>
      <w:color w:themeColor="text1" w:val="000000"/>
    </w:rPr>
  </w:style>
  <w:style w:styleId="Heading9" w:type="paragraph">
    <w:name w:val="heading 9"/>
    <w:basedOn w:val="Normal"/>
    <w:next w:val="BodyText"/>
    <w:uiPriority w:val="9"/>
    <w:unhideWhenUsed/>
    <w:qFormat/>
    <w:rsid w:val="00E60DE0"/>
    <w:pPr>
      <w:keepNext/>
      <w:keepLines/>
      <w:numPr>
        <w:ilvl w:val="8"/>
        <w:numId w:val="1"/>
      </w:numPr>
      <w:spacing w:after="0" w:before="200"/>
      <w:outlineLvl w:val="8"/>
    </w:pPr>
    <w:rPr>
      <w:rFonts w:ascii="Myriad Pro SemiCondensed" w:cstheme="majorBidi" w:eastAsiaTheme="majorEastAsia" w:hAnsi="Myriad Pro SemiCondensed"/>
      <w:color w:themeColor="text1" w:val="00000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96DD6"/>
    <w:pPr>
      <w:spacing w:after="180" w:before="180"/>
      <w:jc w:val="both"/>
    </w:pPr>
    <w:rPr>
      <w:rFonts w:ascii="Bahnschrift Light" w:hAnsi="Bahnschrift Light"/>
    </w:rPr>
  </w:style>
  <w:style w:customStyle="1" w:styleId="FirstParagraph" w:type="paragraph">
    <w:name w:val="First Paragraph"/>
    <w:basedOn w:val="BodyText"/>
    <w:next w:val="BodyText"/>
    <w:qFormat/>
    <w:rsid w:val="009553C7"/>
  </w:style>
  <w:style w:customStyle="1" w:styleId="Compact" w:type="paragraph">
    <w:name w:val="Compact"/>
    <w:basedOn w:val="BodyText"/>
    <w:qFormat/>
    <w:pPr>
      <w:spacing w:after="36" w:before="36"/>
    </w:pPr>
  </w:style>
  <w:style w:styleId="Title" w:type="paragraph">
    <w:name w:val="Title"/>
    <w:basedOn w:val="Normal"/>
    <w:next w:val="BodyText"/>
    <w:qFormat/>
    <w:rsid w:val="009553C7"/>
    <w:pPr>
      <w:keepNext/>
      <w:keepLines/>
      <w:spacing w:after="240" w:before="480"/>
    </w:pPr>
    <w:rPr>
      <w:rFonts w:asciiTheme="majorHAnsi" w:cstheme="majorBidi" w:eastAsiaTheme="majorEastAsia" w:hAnsiTheme="majorHAnsi"/>
      <w:bCs/>
      <w:color w:themeColor="text1" w:val="000000"/>
      <w:sz w:val="72"/>
      <w:szCs w:val="36"/>
    </w:rPr>
  </w:style>
  <w:style w:styleId="Subtitle" w:type="paragraph">
    <w:name w:val="Subtitle"/>
    <w:basedOn w:val="Title"/>
    <w:next w:val="BodyText"/>
    <w:qFormat/>
    <w:rsid w:val="00DD157D"/>
    <w:pPr>
      <w:spacing w:before="240"/>
    </w:pPr>
    <w:rPr>
      <w:rFonts w:ascii="Myriad Pro Semibold SemiCondens" w:hAnsi="Myriad Pro Semibold SemiCondens"/>
      <w:sz w:val="36"/>
      <w:szCs w:val="30"/>
    </w:rPr>
  </w:style>
  <w:style w:customStyle="1" w:styleId="Author" w:type="paragraph">
    <w:name w:val="Author"/>
    <w:next w:val="BodyText"/>
    <w:qFormat/>
    <w:rsid w:val="00DD157D"/>
    <w:pPr>
      <w:keepNext/>
      <w:keepLines/>
    </w:pPr>
    <w:rPr>
      <w:rFonts w:ascii="Myriad Pro" w:hAnsi="Myriad Pro"/>
      <w:bCs/>
      <w:sz w:val="36"/>
    </w:rPr>
  </w:style>
  <w:style w:styleId="Date" w:type="paragraph">
    <w:name w:val="Date"/>
    <w:next w:val="BodyText"/>
    <w:qFormat/>
    <w:rsid w:val="00DD157D"/>
    <w:pPr>
      <w:keepNext/>
      <w:keepLines/>
    </w:pPr>
    <w:rPr>
      <w:rFonts w:ascii="Myriad Pro SemiCondensed" w:hAnsi="Myriad Pro SemiCondensed"/>
      <w:bCs/>
      <w:sz w:val="28"/>
    </w:rPr>
  </w:style>
  <w:style w:customStyle="1" w:styleId="Abstract" w:type="paragraph">
    <w:name w:val="Abstract"/>
    <w:basedOn w:val="Normal"/>
    <w:next w:val="BodyText"/>
    <w:qFormat/>
    <w:rsid w:val="00DD157D"/>
    <w:pPr>
      <w:keepNext/>
      <w:keepLines/>
      <w:spacing w:after="300" w:before="300"/>
    </w:pPr>
    <w:rPr>
      <w:rFonts w:ascii="Myriad Pro" w:hAnsi="Myriad Pro"/>
      <w:sz w:val="20"/>
      <w:szCs w:val="20"/>
    </w:rPr>
  </w:style>
  <w:style w:styleId="Bibliography" w:type="paragraph">
    <w:name w:val="Bibliography"/>
    <w:basedOn w:val="Normal"/>
    <w:qFormat/>
    <w:rsid w:val="0005637E"/>
    <w:rPr>
      <w:sz w:val="21"/>
    </w:rPr>
  </w:style>
  <w:style w:styleId="BlockText" w:type="paragraph">
    <w:name w:val="Block Text"/>
    <w:basedOn w:val="BodyText"/>
    <w:next w:val="BodyText"/>
    <w:uiPriority w:val="9"/>
    <w:unhideWhenUsed/>
    <w:qFormat/>
    <w:rsid w:val="00870C52"/>
    <w:pPr>
      <w:spacing w:after="100" w:before="100"/>
    </w:pPr>
    <w:rPr>
      <w:rFonts w:ascii="Courier New" w:cstheme="majorBidi" w:eastAsiaTheme="majorEastAsia" w:hAnsi="Courier New"/>
      <w:sz w:val="20"/>
      <w:szCs w:val="20"/>
    </w:rPr>
  </w:style>
  <w:style w:styleId="FootnoteText" w:type="paragraph">
    <w:name w:val="footnote text"/>
    <w:basedOn w:val="Normal"/>
    <w:uiPriority w:val="9"/>
    <w:unhideWhenUsed/>
    <w:qFormat/>
    <w:rsid w:val="0005637E"/>
    <w:rPr>
      <w:rFonts w:ascii="Minion Pro Cond" w:hAnsi="Minion Pro Cond"/>
    </w:rPr>
  </w:style>
  <w:style w:customStyle="1" w:styleId="Table" w:type="table">
    <w:name w:val="Table"/>
    <w:basedOn w:val="TableList3"/>
    <w:semiHidden/>
    <w:unhideWhenUsed/>
    <w:qFormat/>
    <w:rsid w:val="00B2730D"/>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shd w:color="auto" w:fill="D6E3BC" w:themeFill="accent3" w:themeFillTint="66" w:val="clear"/>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rsid w:val="00B35687"/>
    <w:pPr>
      <w:spacing w:after="120" w:line="240" w:lineRule="auto"/>
    </w:pPr>
    <w:rPr>
      <w:rFonts w:ascii="Minion Pro Caption" w:hAnsi="Minion Pro Caption"/>
    </w:rPr>
  </w:style>
  <w:style w:customStyle="1" w:styleId="TableCaption" w:type="paragraph">
    <w:name w:val="Table Caption"/>
    <w:basedOn w:val="Caption"/>
    <w:pPr>
      <w:keepNext/>
    </w:pPr>
  </w:style>
  <w:style w:customStyle="1" w:styleId="ImageCaption" w:type="paragraph">
    <w:name w:val="Image Caption"/>
    <w:basedOn w:val="Caption"/>
    <w:rsid w:val="0005637E"/>
    <w:rPr>
      <w:rFonts w:ascii="Minion Pro Cond Italic Caption" w:hAnsi="Minion Pro Cond Italic Caption"/>
      <w:iCs/>
    </w:rPr>
  </w:style>
  <w:style w:customStyle="1" w:styleId="Figure" w:type="paragraph">
    <w:name w:val="Figure"/>
    <w:basedOn w:val="Normal"/>
  </w:style>
  <w:style w:customStyle="1" w:styleId="CaptionedFigure" w:type="paragraph">
    <w:name w:val="Captioned Figure"/>
    <w:basedOn w:val="Figure"/>
    <w:rsid w:val="00B35687"/>
    <w:pPr>
      <w:keepNext/>
      <w:spacing w:line="240" w:lineRule="auto"/>
    </w:pPr>
    <w:rPr>
      <w:rFonts w:ascii="Minion Pro Caption" w:hAnsi="Minion Pro Caption"/>
    </w:rPr>
  </w:style>
  <w:style w:customStyle="1" w:styleId="CaptionChar" w:type="character">
    <w:name w:val="Caption Char"/>
    <w:basedOn w:val="DefaultParagraphFont"/>
    <w:link w:val="Caption"/>
    <w:rsid w:val="00B35687"/>
    <w:rPr>
      <w:rFonts w:ascii="Minion Pro Caption" w:hAnsi="Minion Pro Caption"/>
    </w:rPr>
  </w:style>
  <w:style w:customStyle="1" w:styleId="VerbatimChar" w:type="character">
    <w:name w:val="Verbatim Char"/>
    <w:basedOn w:val="CaptionChar"/>
    <w:rsid w:val="00B35687"/>
    <w:rPr>
      <w:rFonts w:ascii="Iosevka Type" w:hAnsi="Iosevka Type"/>
      <w:sz w:val="20"/>
    </w:rPr>
  </w:style>
  <w:style w:styleId="FootnoteReference" w:type="character">
    <w:name w:val="footnote reference"/>
    <w:basedOn w:val="CaptionChar"/>
    <w:rPr>
      <w:rFonts w:ascii="Minion Pro Caption" w:hAnsi="Minion Pro Caption"/>
      <w:vertAlign w:val="superscript"/>
    </w:rPr>
  </w:style>
  <w:style w:styleId="Hyperlink" w:type="character">
    <w:name w:val="Hyperlink"/>
    <w:basedOn w:val="CaptionChar"/>
    <w:rPr>
      <w:rFonts w:ascii="Minion Pro Caption" w:hAnsi="Minion Pro Caption"/>
      <w:color w:themeColor="accent1" w:val="4F81BD"/>
    </w:rPr>
  </w:style>
  <w:style w:styleId="TOCHeading" w:type="paragraph">
    <w:name w:val="TOC Heading"/>
    <w:basedOn w:val="Heading1"/>
    <w:next w:val="BodyText"/>
    <w:uiPriority w:val="39"/>
    <w:unhideWhenUsed/>
    <w:qFormat/>
    <w:rsid w:val="0005637E"/>
    <w:pPr>
      <w:numPr>
        <w:numId w:val="0"/>
      </w:numPr>
      <w:spacing w:before="240" w:line="259" w:lineRule="auto"/>
      <w:outlineLvl w:val="9"/>
    </w:pPr>
    <w:rPr>
      <w:rFonts w:ascii="Myriad Pro SemiCondensed" w:hAnsi="Myriad Pro SemiCondensed"/>
      <w:b w:val="0"/>
    </w:rPr>
  </w:style>
  <w:style w:customStyle="1" w:styleId="BodyTextChar" w:type="character">
    <w:name w:val="Body Text Char"/>
    <w:basedOn w:val="DefaultParagraphFont"/>
    <w:link w:val="BodyText"/>
    <w:rsid w:val="00996DD6"/>
    <w:rPr>
      <w:rFonts w:ascii="Bahnschrift Light" w:hAnsi="Bahnschrift Light"/>
    </w:rPr>
  </w:style>
  <w:style w:customStyle="1" w:styleId="SourceCode" w:type="paragraph">
    <w:name w:val="Source Code"/>
    <w:basedOn w:val="BlockText"/>
    <w:qFormat/>
    <w:rsid w:val="003C105E"/>
  </w:style>
  <w:style w:styleId="TableList3" w:type="table">
    <w:name w:val="Table List 3"/>
    <w:basedOn w:val="TableNormal"/>
    <w:semiHidden/>
    <w:unhideWhenUsed/>
    <w:rsid w:val="003B2339"/>
    <w:pPr>
      <w:spacing w:line="360" w:lineRule="auto"/>
    </w:p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DarkList" w:type="table">
    <w:name w:val="Dark List"/>
    <w:basedOn w:val="TableNormal"/>
    <w:semiHidden/>
    <w:unhideWhenUsed/>
    <w:rsid w:val="00FE28CC"/>
    <w:pPr>
      <w:spacing w:after="0"/>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Header" w:type="paragraph">
    <w:name w:val="header"/>
    <w:basedOn w:val="Normal"/>
    <w:link w:val="HeaderChar"/>
    <w:unhideWhenUsed/>
    <w:rsid w:val="00B66951"/>
    <w:pPr>
      <w:tabs>
        <w:tab w:pos="4680" w:val="center"/>
        <w:tab w:pos="9360" w:val="right"/>
      </w:tabs>
      <w:spacing w:after="0" w:line="240" w:lineRule="auto"/>
    </w:pPr>
  </w:style>
  <w:style w:customStyle="1" w:styleId="HeaderChar" w:type="character">
    <w:name w:val="Header Char"/>
    <w:basedOn w:val="DefaultParagraphFont"/>
    <w:link w:val="Header"/>
    <w:rsid w:val="00B66951"/>
    <w:rPr>
      <w:rFonts w:ascii="Minion Pro" w:hAnsi="Minion Pro"/>
    </w:rPr>
  </w:style>
  <w:style w:styleId="Footer" w:type="paragraph">
    <w:name w:val="footer"/>
    <w:basedOn w:val="Normal"/>
    <w:link w:val="FooterChar"/>
    <w:uiPriority w:val="99"/>
    <w:unhideWhenUsed/>
    <w:rsid w:val="00B66951"/>
    <w:pPr>
      <w:tabs>
        <w:tab w:pos="4680" w:val="center"/>
        <w:tab w:pos="9360" w:val="right"/>
      </w:tabs>
      <w:spacing w:after="0" w:line="240" w:lineRule="auto"/>
    </w:pPr>
  </w:style>
  <w:style w:customStyle="1" w:styleId="FooterChar" w:type="character">
    <w:name w:val="Footer Char"/>
    <w:basedOn w:val="DefaultParagraphFont"/>
    <w:link w:val="Footer"/>
    <w:uiPriority w:val="99"/>
    <w:rsid w:val="00B66951"/>
    <w:rPr>
      <w:rFonts w:ascii="Minion Pro" w:hAnsi="Minion Pro"/>
    </w:rPr>
  </w:style>
  <w:style w:styleId="PageNumber" w:type="character">
    <w:name w:val="page number"/>
    <w:basedOn w:val="DefaultParagraphFont"/>
    <w:semiHidden/>
    <w:unhideWhenUsed/>
    <w:rsid w:val="003064EE"/>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4" Target="media/rId24.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61</Words>
  <Characters>373</Characters>
  <Application>Microsoft Office Word</Application>
  <DocSecurity>0</DocSecurity>
  <Lines>16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Duke University</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Servicios Secretaria de la Alcaldía de Bogotá</dc:title>
  <dc:creator>SoftProductiva.com</dc:creator>
  <dc:language>en</dc:language>
  <dc:subject>Proyecto de Evaluación y Hoja de Ruta Arquitectura</dc:subject>
  <cp:keywords>Arquitectura, Evaluación, Diseño, Hoja de ruta, Transición</cp:keywords>
  <dcterms:created xsi:type="dcterms:W3CDTF">2025-07-27T19:14:54Z</dcterms:created>
  <dcterms:modified xsi:type="dcterms:W3CDTF">2025-07-27T19:14:54Z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2025-01-20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IndexTemplate">
    <vt:lpwstr>(i)</vt:lpwstr>
  </property>
  <property fmtid="{D5CDD505-2E9C-101B-9397-08002B2CF9AE}" pid="18" name="eqnInlineTemplate">
    <vt:lpwstr>eequationNumberTeX{i}</vt:lpwstr>
  </property>
  <property fmtid="{D5CDD505-2E9C-101B-9397-08002B2CF9AE}" pid="19" name="eqnPrefix">
    <vt:lpwstr/>
  </property>
  <property fmtid="{D5CDD505-2E9C-101B-9397-08002B2CF9AE}" pid="20" name="eqnPrefixTemplate">
    <vt:lpwstr>p i</vt:lpwstr>
  </property>
  <property fmtid="{D5CDD505-2E9C-101B-9397-08002B2CF9AE}" pid="21" name="equationNumberTeX">
    <vt:lpwstr>\qquad</vt:lpwstr>
  </property>
  <property fmtid="{D5CDD505-2E9C-101B-9397-08002B2CF9AE}" pid="22" name="figLabels">
    <vt:lpwstr>arabic</vt:lpwstr>
  </property>
  <property fmtid="{D5CDD505-2E9C-101B-9397-08002B2CF9AE}" pid="23" name="figPrefix">
    <vt:lpwstr/>
  </property>
  <property fmtid="{D5CDD505-2E9C-101B-9397-08002B2CF9AE}" pid="24" name="figPrefixTemplate">
    <vt:lpwstr>p i</vt:lpwstr>
  </property>
  <property fmtid="{D5CDD505-2E9C-101B-9397-08002B2CF9AE}" pid="25" name="fignos-caption-name">
    <vt:lpwstr>Imagen</vt:lpwstr>
  </property>
  <property fmtid="{D5CDD505-2E9C-101B-9397-08002B2CF9AE}" pid="26" name="fignos-cleveref">
    <vt:lpwstr>True</vt:lpwstr>
  </property>
  <property fmtid="{D5CDD505-2E9C-101B-9397-08002B2CF9AE}" pid="27" name="fignos-plus-name">
    <vt:lpwstr>Fig.</vt:lpwstr>
  </property>
  <property fmtid="{D5CDD505-2E9C-101B-9397-08002B2CF9AE}" pid="28" name="figureTemplate">
    <vt:lpwstr>figureTitle ititleDelim t</vt:lpwstr>
  </property>
  <property fmtid="{D5CDD505-2E9C-101B-9397-08002B2CF9AE}" pid="29" name="figureTitle">
    <vt:lpwstr>Figura</vt:lpwstr>
  </property>
  <property fmtid="{D5CDD505-2E9C-101B-9397-08002B2CF9AE}" pid="30" name="geometry">
    <vt:lpwstr/>
  </property>
  <property fmtid="{D5CDD505-2E9C-101B-9397-08002B2CF9AE}" pid="31" name="lastDelim">
    <vt:lpwstr>, </vt:lpwstr>
  </property>
  <property fmtid="{D5CDD505-2E9C-101B-9397-08002B2CF9AE}" pid="32" name="linkReferences">
    <vt:lpwstr>False</vt:lpwstr>
  </property>
  <property fmtid="{D5CDD505-2E9C-101B-9397-08002B2CF9AE}" pid="33" name="listItemTitleDelim">
    <vt:lpwstr>.</vt:lpwstr>
  </property>
  <property fmtid="{D5CDD505-2E9C-101B-9397-08002B2CF9AE}" pid="34" name="listingTemplate">
    <vt:lpwstr>listingTitle ititleDelim t</vt:lpwstr>
  </property>
  <property fmtid="{D5CDD505-2E9C-101B-9397-08002B2CF9AE}" pid="35" name="listingTitle">
    <vt:lpwstr>Listing</vt:lpwstr>
  </property>
  <property fmtid="{D5CDD505-2E9C-101B-9397-08002B2CF9AE}" pid="36" name="listings">
    <vt:lpwstr>False</vt:lpwstr>
  </property>
  <property fmtid="{D5CDD505-2E9C-101B-9397-08002B2CF9AE}" pid="37" name="listings-no-page-break">
    <vt:lpwstr>True</vt:lpwstr>
  </property>
  <property fmtid="{D5CDD505-2E9C-101B-9397-08002B2CF9AE}" pid="38" name="lofItemTemplate">
    <vt:lpwstr>lofItemTitleilistItemTitleDelimt </vt:lpwstr>
  </property>
  <property fmtid="{D5CDD505-2E9C-101B-9397-08002B2CF9AE}" pid="39" name="lofItemTitle">
    <vt:lpwstr/>
  </property>
  <property fmtid="{D5CDD505-2E9C-101B-9397-08002B2CF9AE}" pid="40" name="lofTitle">
    <vt:lpwstr>Lista de Figuras</vt:lpwstr>
  </property>
  <property fmtid="{D5CDD505-2E9C-101B-9397-08002B2CF9AE}" pid="41" name="logo-width">
    <vt:lpwstr>60mm</vt:lpwstr>
  </property>
  <property fmtid="{D5CDD505-2E9C-101B-9397-08002B2CF9AE}" pid="42" name="lolItemTemplate">
    <vt:lpwstr>lolItemTitleilistItemTitleDelimt </vt:lpwstr>
  </property>
  <property fmtid="{D5CDD505-2E9C-101B-9397-08002B2CF9AE}" pid="43" name="lolItemTitle">
    <vt:lpwstr/>
  </property>
  <property fmtid="{D5CDD505-2E9C-101B-9397-08002B2CF9AE}" pid="44" name="lolTitle">
    <vt:lpwstr>Listas del Documento</vt:lpwstr>
  </property>
  <property fmtid="{D5CDD505-2E9C-101B-9397-08002B2CF9AE}" pid="45" name="lotItemTemplate">
    <vt:lpwstr>lotItemTitleilistItemTitleDelimt </vt:lpwstr>
  </property>
  <property fmtid="{D5CDD505-2E9C-101B-9397-08002B2CF9AE}" pid="46" name="lotItemTitle">
    <vt:lpwstr/>
  </property>
  <property fmtid="{D5CDD505-2E9C-101B-9397-08002B2CF9AE}" pid="47" name="lotTitle">
    <vt:lpwstr>Lista de Tablas</vt:lpwstr>
  </property>
  <property fmtid="{D5CDD505-2E9C-101B-9397-08002B2CF9AE}" pid="48" name="lstLabels">
    <vt:lpwstr>arabic</vt:lpwstr>
  </property>
  <property fmtid="{D5CDD505-2E9C-101B-9397-08002B2CF9AE}" pid="49" name="lstPrefix">
    <vt:lpwstr/>
  </property>
  <property fmtid="{D5CDD505-2E9C-101B-9397-08002B2CF9AE}" pid="50" name="lstPrefixTemplate">
    <vt:lpwstr>p i</vt:lpwstr>
  </property>
  <property fmtid="{D5CDD505-2E9C-101B-9397-08002B2CF9AE}" pid="51" name="nameInLink">
    <vt:lpwstr>False</vt:lpwstr>
  </property>
  <property fmtid="{D5CDD505-2E9C-101B-9397-08002B2CF9AE}" pid="52" name="numberSections">
    <vt:lpwstr>False</vt:lpwstr>
  </property>
  <property fmtid="{D5CDD505-2E9C-101B-9397-08002B2CF9AE}" pid="53" name="pairDelim">
    <vt:lpwstr>, </vt:lpwstr>
  </property>
  <property fmtid="{D5CDD505-2E9C-101B-9397-08002B2CF9AE}" pid="54" name="rangeDelim">
    <vt:lpwstr>-</vt:lpwstr>
  </property>
  <property fmtid="{D5CDD505-2E9C-101B-9397-08002B2CF9AE}" pid="55" name="refDelim">
    <vt:lpwstr>, </vt:lpwstr>
  </property>
  <property fmtid="{D5CDD505-2E9C-101B-9397-08002B2CF9AE}" pid="56" name="refIndexTemplate">
    <vt:lpwstr>isuf</vt:lpwstr>
  </property>
  <property fmtid="{D5CDD505-2E9C-101B-9397-08002B2CF9AE}" pid="57" name="secHeaderDelim">
    <vt:lpwstr> </vt:lpwstr>
  </property>
  <property fmtid="{D5CDD505-2E9C-101B-9397-08002B2CF9AE}" pid="58" name="secHeaderTemplate">
    <vt:lpwstr>isecHeaderDelim[n]t</vt:lpwstr>
  </property>
  <property fmtid="{D5CDD505-2E9C-101B-9397-08002B2CF9AE}" pid="59" name="secLabels">
    <vt:lpwstr>arabic</vt:lpwstr>
  </property>
  <property fmtid="{D5CDD505-2E9C-101B-9397-08002B2CF9AE}" pid="60" name="secPrefix">
    <vt:lpwstr/>
  </property>
  <property fmtid="{D5CDD505-2E9C-101B-9397-08002B2CF9AE}" pid="61" name="secPrefixTemplate">
    <vt:lpwstr>p i</vt:lpwstr>
  </property>
  <property fmtid="{D5CDD505-2E9C-101B-9397-08002B2CF9AE}" pid="62" name="sectionsDepth">
    <vt:lpwstr>0</vt:lpwstr>
  </property>
  <property fmtid="{D5CDD505-2E9C-101B-9397-08002B2CF9AE}" pid="63" name="subfigGrid">
    <vt:lpwstr>False</vt:lpwstr>
  </property>
  <property fmtid="{D5CDD505-2E9C-101B-9397-08002B2CF9AE}" pid="64" name="subfigLabels">
    <vt:lpwstr>alpha a</vt:lpwstr>
  </property>
  <property fmtid="{D5CDD505-2E9C-101B-9397-08002B2CF9AE}" pid="65" name="subfigureChildTemplate">
    <vt:lpwstr>i</vt:lpwstr>
  </property>
  <property fmtid="{D5CDD505-2E9C-101B-9397-08002B2CF9AE}" pid="66" name="subfigureRefIndexTemplate">
    <vt:lpwstr>isuf (s)</vt:lpwstr>
  </property>
  <property fmtid="{D5CDD505-2E9C-101B-9397-08002B2CF9AE}" pid="67" name="subfigureTemplate">
    <vt:lpwstr>figureTitle ititleDelim t. ccs</vt:lpwstr>
  </property>
  <property fmtid="{D5CDD505-2E9C-101B-9397-08002B2CF9AE}" pid="68" name="subtitle">
    <vt:lpwstr>Evaluación y Hoja de Ruta de la Arquitectura del Canal Bancario Whatsapp</vt:lpwstr>
  </property>
  <property fmtid="{D5CDD505-2E9C-101B-9397-08002B2CF9AE}" pid="69" name="tableEqns">
    <vt:lpwstr>False</vt:lpwstr>
  </property>
  <property fmtid="{D5CDD505-2E9C-101B-9397-08002B2CF9AE}" pid="70" name="tableTemplate">
    <vt:lpwstr>tableTitle ititleDelimt</vt:lpwstr>
  </property>
  <property fmtid="{D5CDD505-2E9C-101B-9397-08002B2CF9AE}" pid="71" name="tableTitle">
    <vt:lpwstr>Tabla</vt:lpwstr>
  </property>
  <property fmtid="{D5CDD505-2E9C-101B-9397-08002B2CF9AE}" pid="72" name="tablenos-caption-name">
    <vt:lpwstr>Tabla</vt:lpwstr>
  </property>
  <property fmtid="{D5CDD505-2E9C-101B-9397-08002B2CF9AE}" pid="73" name="tblLabels">
    <vt:lpwstr>arabic</vt:lpwstr>
  </property>
  <property fmtid="{D5CDD505-2E9C-101B-9397-08002B2CF9AE}" pid="74" name="tblPrefix">
    <vt:lpwstr/>
  </property>
  <property fmtid="{D5CDD505-2E9C-101B-9397-08002B2CF9AE}" pid="75" name="tblPrefixTemplate">
    <vt:lpwstr>p i</vt:lpwstr>
  </property>
  <property fmtid="{D5CDD505-2E9C-101B-9397-08002B2CF9AE}" pid="76" name="titleDelim">
    <vt:lpwstr>:</vt:lpwstr>
  </property>
  <property fmtid="{D5CDD505-2E9C-101B-9397-08002B2CF9AE}" pid="77" name="titlepage">
    <vt:lpwstr>True</vt:lpwstr>
  </property>
  <property fmtid="{D5CDD505-2E9C-101B-9397-08002B2CF9AE}" pid="78" name="titlepage-background">
    <vt:lpwstr>include/background2.pdf</vt:lpwstr>
  </property>
  <property fmtid="{D5CDD505-2E9C-101B-9397-08002B2CF9AE}" pid="79" name="titlepage-logo">
    <vt:lpwstr>include/logo.png</vt:lpwstr>
  </property>
  <property fmtid="{D5CDD505-2E9C-101B-9397-08002B2CF9AE}" pid="80" name="titlepage-rule-color">
    <vt:lpwstr>360049</vt:lpwstr>
  </property>
  <property fmtid="{D5CDD505-2E9C-101B-9397-08002B2CF9AE}" pid="81" name="todo">
    <vt:lpwstr>aun no está lista</vt:lpwstr>
  </property>
</Properties>
</file>