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24.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1.03c5e47 - Compilación para entrega: accion-actualizacionContd (87c8330) - Fri, 8 Aug 2025 07:11:17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1.a91bc7d - Compilación para entrega: accion-actualizacionContd (7dc33e8) - Fri, 8 Aug 2025 06:53:14 +0000</w:t>
      </w:r>
    </w:p>
    <w:p>
      <w:pPr>
        <w:pStyle w:val="BodyText"/>
      </w:pPr>
      <w:r>
        <w:t xml:space="preserve">1.bb976fb - Compilación para entrega: accion-actualizacionContd (bf7b785) - Tue, 5 Aug 2025 18:13:49 +0000</w:t>
      </w:r>
    </w:p>
    <w:p>
      <w:pPr>
        <w:pStyle w:val="BodyText"/>
      </w:pPr>
      <w:r>
        <w:t xml:space="preserve">1.707deb6 - Compilación para entrega: accion-actualizacionContd (cd44b22) - Mon, 4 Aug 2025 16:37:33 +0000</w:t>
      </w:r>
    </w:p>
    <w:p>
      <w:pPr>
        <w:pStyle w:val="BodyText"/>
      </w:pPr>
      <w:r>
        <w:t xml:space="preserve">1.135e1bb - Compilación para entrega: accion-actualizacionContd (b16f884) - Mon, 4 Aug 2025 04:16:43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95"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8" w:name="X0dfed88e1982bd14c512174813fc79fcfe6afff"/>
    <w:p>
      <w:pPr>
        <w:pStyle w:val="Heading2"/>
      </w:pPr>
      <w:r>
        <w:t xml:space="preserve">Entregables Fase I de la Visión AE de SG</w:t>
      </w:r>
    </w:p>
    <w:p>
      <w:pPr>
        <w:pStyle w:val="FirstParagraph"/>
      </w:pPr>
    </w:p>
    <w:p>
      <w:pPr>
        <w:pStyle w:val="CaptionedFigure"/>
      </w:pPr>
      <w:r>
        <w:drawing>
          <wp:inline>
            <wp:extent cx="5943600" cy="4553284"/>
            <wp:effectExtent b="0" l="0" r="0" t="0"/>
            <wp:docPr descr="03. Entregables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Vision.png" id="32" name="Picture"/>
                    <pic:cNvPicPr>
                      <a:picLocks noChangeArrowheads="1" noChangeAspect="1"/>
                    </pic:cNvPicPr>
                  </pic:nvPicPr>
                  <pic:blipFill>
                    <a:blip r:embed="rId30"/>
                    <a:stretch>
                      <a:fillRect/>
                    </a:stretch>
                  </pic:blipFill>
                  <pic:spPr bwMode="auto">
                    <a:xfrm>
                      <a:off x="0" y="0"/>
                      <a:ext cx="5943600" cy="4553284"/>
                    </a:xfrm>
                    <a:prstGeom prst="rect">
                      <a:avLst/>
                    </a:prstGeom>
                    <a:noFill/>
                    <a:ln w="9525">
                      <a:noFill/>
                      <a:headEnd/>
                      <a:tailEnd/>
                    </a:ln>
                  </pic:spPr>
                </pic:pic>
              </a:graphicData>
            </a:graphic>
          </wp:inline>
        </w:drawing>
      </w:r>
    </w:p>
    <w:p>
      <w:pPr>
        <w:pStyle w:val="ImageCaption"/>
      </w:pPr>
      <w:r>
        <w:t xml:space="preserve">Figura 2: 03. Entregables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4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39"/>
    <w:bookmarkStart w:id="4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40"/>
    <w:bookmarkEnd w:id="41"/>
    <w:bookmarkStart w:id="42"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End w:id="42"/>
    <w:bookmarkStart w:id="43"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bookmarkEnd w:id="43"/>
    <w:bookmarkStart w:id="47" w:name="X59a71a9d5a67079b3d234de548395721e858e12"/>
    <w:p>
      <w:pPr>
        <w:pStyle w:val="Heading3"/>
      </w:pPr>
      <w:r>
        <w:t xml:space="preserve">06.2n4. Aplicaciones. Situación Actual SG</w:t>
      </w:r>
    </w:p>
    <w:p>
      <w:pPr>
        <w:pStyle w:val="FirstParagraph"/>
      </w:pPr>
      <w:r>
        <w:t xml:space="preserve">La Fase Tres (3) de la arquitectura empresarial (AE) de SG se divide en dos partes principales: Arquitectura de Datos y Arquitectura de Aplicaciones.</w:t>
      </w:r>
    </w:p>
    <w:bookmarkStart w:id="44" w:name="X2de250970d849ab1817c218a195d14f0222f283"/>
    <w:p>
      <w:pPr>
        <w:pStyle w:val="Heading4"/>
      </w:pPr>
      <w:r>
        <w:t xml:space="preserve">Objetivo de la Arquitectura de Aplicaciones:</w:t>
      </w:r>
    </w:p>
    <w:p>
      <w:pPr>
        <w:pStyle w:val="FirstParagraph"/>
      </w:pPr>
      <w:r>
        <w:t xml:space="preserve">El objetivo principal de la Arquitectura de Aplicaciones es desarrollar las arquitecturas de sistemas de información objetivo (tanto de datos como de aplicaciones) que soporten la arquitectura de negocio (desarrollada en la Fase B) y que implementen la visión de arquitectura inicial (establecida en la Fase A).</w:t>
      </w:r>
    </w:p>
    <w:p>
      <w:pPr>
        <w:pStyle w:val="BodyText"/>
      </w:pPr>
      <w:r>
        <w:t xml:space="preserve">En términos más específicos, la arquitectura de aplicaciones busca:</w:t>
      </w:r>
    </w:p>
    <w:p>
      <w:pPr>
        <w:numPr>
          <w:ilvl w:val="0"/>
          <w:numId w:val="1020"/>
        </w:numPr>
        <w:pStyle w:val="Compact"/>
      </w:pPr>
      <w:r>
        <w:t xml:space="preserve">Definir la arquitectura de las aplicaciones (software) necesarias para soportar los procesos de negocio.</w:t>
      </w:r>
    </w:p>
    <w:p>
      <w:pPr>
        <w:numPr>
          <w:ilvl w:val="0"/>
          <w:numId w:val="1020"/>
        </w:numPr>
        <w:pStyle w:val="Compact"/>
      </w:pPr>
      <w:r>
        <w:t xml:space="preserve">Identificar las funciones de negocio que deben ser soportadas por las aplicaciones.</w:t>
      </w:r>
    </w:p>
    <w:p>
      <w:pPr>
        <w:numPr>
          <w:ilvl w:val="0"/>
          <w:numId w:val="1020"/>
        </w:numPr>
        <w:pStyle w:val="Compact"/>
      </w:pPr>
      <w:r>
        <w:t xml:space="preserve">Establecer la interacción y el flujo de información entre las diferentes aplicaciones.</w:t>
      </w:r>
    </w:p>
    <w:p>
      <w:pPr>
        <w:numPr>
          <w:ilvl w:val="0"/>
          <w:numId w:val="1020"/>
        </w:numPr>
        <w:pStyle w:val="Compact"/>
      </w:pPr>
      <w:r>
        <w:t xml:space="preserve">Considerar aspectos como la escalabilidad, el rendimiento, la mantenibilidad y la seguridad de las aplicaciones.</w:t>
      </w:r>
    </w:p>
    <w:p>
      <w:pPr>
        <w:numPr>
          <w:ilvl w:val="0"/>
          <w:numId w:val="1020"/>
        </w:numPr>
        <w:pStyle w:val="Compact"/>
      </w:pPr>
      <w:r>
        <w:t xml:space="preserve">Listar los capacidades de negocio (servicios de aplicación) relacionadas con las arquitecturas de aplicaciones de SG.</w:t>
      </w:r>
    </w:p>
    <w:bookmarkEnd w:id="44"/>
    <w:bookmarkStart w:id="45" w:name="X5151982c2e2c5b9079ba464909fe5d57045fbe7"/>
    <w:p>
      <w:pPr>
        <w:pStyle w:val="Heading4"/>
      </w:pPr>
      <w:r>
        <w:t xml:space="preserve">Relación con las demás fases del proyecto</w:t>
      </w:r>
    </w:p>
    <w:p>
      <w:pPr>
        <w:pStyle w:val="FirstParagraph"/>
      </w:pPr>
      <w:r>
        <w:t xml:space="preserve">La Arquitectura de Aplicaciones no opera de forma aislada; está intrínsecamente conectada con las fases anteriores y posteriores de la arquitectura empresarial de Secretaria de la Alcaldía de Bogotá:</w:t>
      </w:r>
    </w:p>
    <w:p>
      <w:pPr>
        <w:numPr>
          <w:ilvl w:val="0"/>
          <w:numId w:val="1021"/>
        </w:numPr>
        <w:pStyle w:val="Compact"/>
      </w:pPr>
      <w:r>
        <w:t xml:space="preserve">Relación con la Fase A (Visión de la Arquitectura): La Fase C toma como entrada principal la Visión de la Arquitectura, que establece el alcance, los objetivos de alto nivel, los principios de la arquitectura y la visión del negocio. La Arquitectura de Sistemas de Información debe alinearse y contribuir a la consecución de esta visión.</w:t>
      </w:r>
    </w:p>
    <w:p>
      <w:pPr>
        <w:numPr>
          <w:ilvl w:val="0"/>
          <w:numId w:val="1021"/>
        </w:numPr>
        <w:pStyle w:val="Compact"/>
      </w:pPr>
      <w:r>
        <w:t xml:space="preserve">Relación con la Fase B (Arquitectura de Negocio): La Arquitectura de Negocio (procesos de negocio, funciones, organización, etc.) es el motor principal para la Fase C. La Arquitectura de Sistemas de Información se construye para soportar y habilitar los requisitos definidos en la Arquitectura de Negocio. Por ejemplo, los procesos de negocio definidos en la Fase B informarán las necesidades de datos y las funcionalidades de las aplicaciones en la Fase C.</w:t>
      </w:r>
    </w:p>
    <w:p>
      <w:pPr>
        <w:numPr>
          <w:ilvl w:val="0"/>
          <w:numId w:val="1021"/>
        </w:numPr>
        <w:pStyle w:val="Compact"/>
      </w:pPr>
      <w:r>
        <w:t xml:space="preserve">Relación con la Fase D (Arquitectura Tecnológica): La Fase C proporciona los requisitos para la Fase D. La Arquitectura de Sistemas de Información (datos y aplicaciones) determina la tecnología subyacente (hardware, software de infraestructura, middleware, redes) que se necesitará para soportar las aplicaciones y gestionar los datos. La Fase D, por lo tanto, desarrollará la Arquitectura Tecnológica basándose en las necesidades identificadas en la Fase C.</w:t>
      </w:r>
    </w:p>
    <w:p>
      <w:pPr>
        <w:numPr>
          <w:ilvl w:val="0"/>
          <w:numId w:val="1021"/>
        </w:numPr>
        <w:pStyle w:val="Compact"/>
      </w:pPr>
      <w:r>
        <w:t xml:space="preserve">Relación con la Fase E (Oportunidades y Soluciones) y Fase F (Planificación de la Migración): Las arquitecturas de datos y aplicaciones desarrolladas en la Fase C son insumos críticos para identificar oportunidades de implementación (Fase E) y para desarrollar el plan de migración (Fase F) de las arquitecturas actuales a las arquitecturas objetivo.</w:t>
      </w:r>
    </w:p>
    <w:p>
      <w:pPr>
        <w:numPr>
          <w:ilvl w:val="0"/>
          <w:numId w:val="1021"/>
        </w:numPr>
        <w:pStyle w:val="Compact"/>
      </w:pPr>
      <w:r>
        <w:t xml:space="preserve">Relación con la Gestión de Requisitos (Requirements Management): La Gestión de Requisitos es una capacidad continua que atraviesa todas las fases del ADM. Los requisitos de los sistemas de información, capturados y gestionados, son fundamentales para guiar el desarrollo de las arquitecturas en la Fase C y para asegurar que la arquitectura final cumpla con las necesidades del negocio.</w:t>
      </w:r>
    </w:p>
    <w:bookmarkEnd w:id="45"/>
    <w:bookmarkStart w:id="46" w:name="X9da760a6bb31ad059669a383fc54b8cafc29704"/>
    <w:p>
      <w:pPr>
        <w:pStyle w:val="Heading4"/>
      </w:pPr>
      <w:r>
        <w:t xml:space="preserve">Requisitos Necesarios para su Realización (Entradas Clave):</w:t>
      </w:r>
    </w:p>
    <w:p>
      <w:pPr>
        <w:pStyle w:val="FirstParagraph"/>
      </w:pPr>
      <w:r>
        <w:t xml:space="preserve">Para llevar a cabo la Fase C de manera efectiva, una empresa debe contar con ciertos requisitos y entradas esenciales, que provienen principalmente de las fases previas del proceso de AE:</w:t>
      </w:r>
    </w:p>
    <w:p>
      <w:pPr>
        <w:numPr>
          <w:ilvl w:val="0"/>
          <w:numId w:val="1022"/>
        </w:numPr>
        <w:pStyle w:val="Compact"/>
      </w:pPr>
      <w:r>
        <w:t xml:space="preserve">Requisitos de Negocio: Una comprensión clara y detallada de los requisitos de negocio, procesos de negocio, funciones y estructuras organizacionales definidos en la Fase B. Esto incluye, por ejemplo, el Catálogo de Requisitos (como se menciona en el documento</w:t>
      </w:r>
      <w:r>
        <w:t xml:space="preserve"> </w:t>
      </w:r>
      <w:r>
        <w:t xml:space="preserve">“</w:t>
      </w:r>
      <w:r>
        <w:t xml:space="preserve">TOGAF Catalogs Matrices and Diagrams.pdf</w:t>
      </w:r>
      <w:r>
        <w:t xml:space="preserve">”</w:t>
      </w:r>
      <w:r>
        <w:t xml:space="preserve">, página 60), que</w:t>
      </w:r>
      <w:r>
        <w:t xml:space="preserve"> </w:t>
      </w:r>
      <w:r>
        <w:t xml:space="preserve">“</w:t>
      </w:r>
      <w:r>
        <w:t xml:space="preserve">captura las cosas que la empresa necesita hacer para cumplir sus objetivos</w:t>
      </w:r>
      <w:r>
        <w:t xml:space="preserve">”</w:t>
      </w:r>
      <w:r>
        <w:t xml:space="preserve">.</w:t>
      </w:r>
    </w:p>
    <w:p>
      <w:pPr>
        <w:numPr>
          <w:ilvl w:val="0"/>
          <w:numId w:val="1022"/>
        </w:numPr>
        <w:pStyle w:val="Compact"/>
      </w:pPr>
      <w:r>
        <w:t xml:space="preserve">Visión de la Arquitectura: La</w:t>
      </w:r>
      <w:r>
        <w:t xml:space="preserve"> </w:t>
      </w:r>
      <w:r>
        <w:t xml:space="preserve">“</w:t>
      </w:r>
      <w:r>
        <w:t xml:space="preserve">Visión de la Arquitectura</w:t>
      </w:r>
      <w:r>
        <w:t xml:space="preserve">”</w:t>
      </w:r>
      <w:r>
        <w:t xml:space="preserve"> </w:t>
      </w:r>
      <w:r>
        <w:t xml:space="preserve">(Architectural Vision) y los</w:t>
      </w:r>
      <w:r>
        <w:t xml:space="preserve"> </w:t>
      </w:r>
      <w:r>
        <w:t xml:space="preserve">“</w:t>
      </w:r>
      <w:r>
        <w:t xml:space="preserve">Principios de la Arquitectura</w:t>
      </w:r>
      <w:r>
        <w:t xml:space="preserve">”</w:t>
      </w:r>
      <w:r>
        <w:t xml:space="preserve"> </w:t>
      </w:r>
      <w:r>
        <w:t xml:space="preserve">establecidos en la Fase A, que guiarán las decisiones de diseño en la Fase C.</w:t>
      </w:r>
    </w:p>
    <w:p>
      <w:pPr>
        <w:numPr>
          <w:ilvl w:val="0"/>
          <w:numId w:val="1022"/>
        </w:numPr>
        <w:pStyle w:val="Compact"/>
      </w:pPr>
      <w:r>
        <w:t xml:space="preserve">Arquitectura de Negocio de Línea Base y Objetivo: Los modelos de Arquitectura de Negocio actual y deseada (definidos en la Fase B), que servirán como punto de partida y destino para la Arquitectura de Sistemas de Información.</w:t>
      </w:r>
    </w:p>
    <w:p>
      <w:pPr>
        <w:numPr>
          <w:ilvl w:val="0"/>
          <w:numId w:val="1022"/>
        </w:numPr>
        <w:pStyle w:val="Compact"/>
      </w:pPr>
      <w:r>
        <w:t xml:space="preserve">Metamodelo de Contenidos de la Arquitectura: Una comprensión y aplicación del metamodelo de contenidos de TOGAF (referenciado en</w:t>
      </w:r>
      <w:r>
        <w:t xml:space="preserve"> </w:t>
      </w:r>
      <w:r>
        <w:t xml:space="preserve">“</w:t>
      </w:r>
      <w:r>
        <w:t xml:space="preserve">TOGAF 9.2 - Content Metamodel.pdf</w:t>
      </w:r>
      <w:r>
        <w:t xml:space="preserve">”</w:t>
      </w:r>
      <w:r>
        <w:t xml:space="preserve">), que proporciona un marco estructurado para describir los artefactos de la arquitectura.</w:t>
      </w:r>
    </w:p>
    <w:p>
      <w:pPr>
        <w:numPr>
          <w:ilvl w:val="0"/>
          <w:numId w:val="1022"/>
        </w:numPr>
        <w:pStyle w:val="Compact"/>
      </w:pPr>
      <w:r>
        <w:t xml:space="preserve">Principios de Arquitectura de Sistemas de Información: Principios específicos que guiarán el diseño de los datos y las aplicaciones, asegurando la coherencia y la alineación con los objetivos empresariales.</w:t>
      </w:r>
    </w:p>
    <w:p>
      <w:pPr>
        <w:numPr>
          <w:ilvl w:val="0"/>
          <w:numId w:val="1022"/>
        </w:numPr>
        <w:pStyle w:val="Compact"/>
      </w:pPr>
      <w:r>
        <w:t xml:space="preserve">Capacidad de Arquitectura Empresarial: La infraestructura y los recursos necesarios para realizar actividades de arquitectura, incluyendo herramientas de modelado (como ArchiMate, Draw.io, compatible con TOGAF) y personal con las habilidades adecuadas.</w:t>
      </w:r>
    </w:p>
    <w:p>
      <w:pPr>
        <w:numPr>
          <w:ilvl w:val="0"/>
          <w:numId w:val="1022"/>
        </w:numPr>
        <w:pStyle w:val="Compact"/>
      </w:pPr>
      <w:r>
        <w:t xml:space="preserve">Planes de Iteración y Nivel de Detalle: El alcance y el nivel de detalle requerido para la arquitectura de sistemas de información, que a menudo se define en la Fase de Visión y se refina a medida que avanza el proceso de AE. Esto puede incluir un enfoque iterativo para el desarrollo de la arquitectura, según lo discutido en</w:t>
      </w:r>
      <w:r>
        <w:t xml:space="preserve"> </w:t>
      </w:r>
      <w:r>
        <w:t xml:space="preserve">“</w:t>
      </w:r>
      <w:r>
        <w:t xml:space="preserve">ADM Guidelines &amp; Techniques.pdf</w:t>
      </w:r>
      <w:r>
        <w:t xml:space="preserve">”</w:t>
      </w:r>
      <w:r>
        <w:t xml:space="preserve"> </w:t>
      </w:r>
      <w:r>
        <w:t xml:space="preserve">(Capítulo 19: Applying Iteration to the ADM).</w:t>
      </w:r>
    </w:p>
    <w:p>
      <w:pPr>
        <w:pStyle w:val="FirstParagraph"/>
      </w:pPr>
      <w:r>
        <w:t xml:space="preserve">La arquitectura de aplicaciones es un pilar fundamental en la transformación empresarial, traduciendo las necesidades de negocio en soluciones tangibles de datos y aplicaciones, y preparando el terreno para la selección de la tecnología subyacente.</w:t>
      </w:r>
    </w:p>
    <w:bookmarkEnd w:id="46"/>
    <w:bookmarkEnd w:id="47"/>
    <w:bookmarkEnd w:id="48"/>
    <w:bookmarkStart w:id="94" w:name="X046ca1159714691389c842d240f67156f804f2e"/>
    <w:p>
      <w:pPr>
        <w:pStyle w:val="Heading2"/>
      </w:pPr>
      <w:r>
        <w:t xml:space="preserve">Caracterización de Sistemas Información SG</w:t>
      </w:r>
    </w:p>
    <w:p>
      <w:pPr>
        <w:pStyle w:val="BlockText"/>
      </w:pPr>
      <w:r>
        <w:t xml:space="preserve">Arquitectura Empresarial SG. Ingenium. 2025 Dominio de Sistemas y Aplicaciones de Software. Sistemas de información del análisis de entorno.</w:t>
      </w:r>
    </w:p>
    <w:p>
      <w:pPr>
        <w:pStyle w:val="FirstParagraph"/>
      </w:pPr>
    </w:p>
    <w:bookmarkStart w:id="55" w:name="Xab9c520e2d87731f9c1b01dfa6b7f5fcdb59e50"/>
    <w:p>
      <w:pPr>
        <w:pStyle w:val="Heading3"/>
      </w:pPr>
      <w:r>
        <w:t xml:space="preserve">Producto Entregable Caracterización de los sistemas de información</w:t>
      </w:r>
    </w:p>
    <w:p>
      <w:pPr>
        <w:pStyle w:val="FirstParagraph"/>
      </w:pPr>
      <w:r>
        <w:t xml:space="preserve">Arquitectura de aplicaciones - MAE.LI.ASI.03 Caracterización de los sistemas de información SG.</w:t>
      </w:r>
    </w:p>
    <w:p>
      <w:pPr>
        <w:pStyle w:val="BodyText"/>
      </w:pPr>
      <w:r>
        <w:t xml:space="preserve">Inventario de las sistemas de información (o aplicaciones de software) de Secretaria de la Alcaldía de Bogotá y su ficha de características, pertenecientes al alcance del ejercicio actual de arquitectura empresarial objeto del contrato.</w:t>
      </w:r>
    </w:p>
    <w:p>
      <w:pPr>
        <w:pStyle w:val="BodyText"/>
      </w:pPr>
      <w:r>
        <w:t xml:space="preserve">Es un inventario detallado y documentado que contiene las fichas técnicas de los sistemas de información de una institución.</w:t>
      </w:r>
    </w:p>
    <w:bookmarkStart w:id="49" w:name="sec:justificación"/>
    <w:p>
      <w:pPr>
        <w:pStyle w:val="Heading4"/>
      </w:pPr>
      <w:r>
        <w:t xml:space="preserve">Justificación</w:t>
      </w:r>
    </w:p>
    <w:p>
      <w:pPr>
        <w:pStyle w:val="FirstParagraph"/>
      </w:pPr>
      <w:r>
        <w:t xml:space="preserve">El catálogo y caracterización de las aplicaciones de Secretaria de la Alcaldía de Bogotá es un artefacto clave para documentar, comprender, y comunicar el panorama actual y futuro de las aplicaciones de SG. el panorama actual y futuro de las aplicaciones de Secretaria de la Alcaldía de Bogotá. A la vez, es base para la toma de decisiones de la gestión y gobierno de las capacidades de TI, y del portafolio y ciclo de vida de las aplicaciones de Secretaria de la Alcaldía de Bogotá. Sirve además para la actualización continua de las características y atributos relevantes de los sistemas de información.</w:t>
      </w:r>
    </w:p>
    <w:bookmarkEnd w:id="49"/>
    <w:bookmarkStart w:id="50" w:name="sec:objetivos"/>
    <w:p>
      <w:pPr>
        <w:pStyle w:val="Heading4"/>
      </w:pPr>
      <w:r>
        <w:t xml:space="preserve">Objetivos</w:t>
      </w:r>
    </w:p>
    <w:p>
      <w:pPr>
        <w:numPr>
          <w:ilvl w:val="0"/>
          <w:numId w:val="1023"/>
        </w:numPr>
        <w:pStyle w:val="Compact"/>
      </w:pPr>
      <w:r>
        <w:t xml:space="preserve">Documentar y comunicar el panorama actual y futuro de las aplicaciones de SG.</w:t>
      </w:r>
    </w:p>
    <w:p>
      <w:pPr>
        <w:numPr>
          <w:ilvl w:val="0"/>
          <w:numId w:val="1023"/>
        </w:numPr>
        <w:pStyle w:val="Compact"/>
      </w:pPr>
      <w:r>
        <w:t xml:space="preserve">Proveer base para la toma de decisiones de la gestión del portafolio y del ciclo de vida de las aplicaciones de SG.</w:t>
      </w:r>
    </w:p>
    <w:p>
      <w:pPr>
        <w:numPr>
          <w:ilvl w:val="0"/>
          <w:numId w:val="1023"/>
        </w:numPr>
        <w:pStyle w:val="Compact"/>
      </w:pPr>
      <w:r>
        <w:t xml:space="preserve">Facilitar la actualización de su información. Para el efecto, debe usar medios y formatos accesibles y editables por SG.</w:t>
      </w:r>
    </w:p>
    <w:bookmarkEnd w:id="50"/>
    <w:bookmarkStart w:id="54" w:name="sec:contenido"/>
    <w:p>
      <w:pPr>
        <w:pStyle w:val="Heading4"/>
      </w:pPr>
      <w:r>
        <w:t xml:space="preserve">Contenido</w:t>
      </w:r>
    </w:p>
    <w:p>
      <w:pPr>
        <w:numPr>
          <w:ilvl w:val="0"/>
          <w:numId w:val="1024"/>
        </w:numPr>
        <w:pStyle w:val="Compact"/>
      </w:pPr>
      <w:r>
        <w:t xml:space="preserve">Catálogo de sistemas de información seleccionadas. El catálogo relaciona datos individuales e importantes de los sistemas. Incluye la descripción, e identificación de cada aplicación, relación con dominio de negocio, información para la gestión y mantenimiento del sistema.</w:t>
      </w:r>
    </w:p>
    <w:p>
      <w:pPr>
        <w:numPr>
          <w:ilvl w:val="1"/>
          <w:numId w:val="1025"/>
        </w:numPr>
        <w:pStyle w:val="Compact"/>
      </w:pPr>
      <w:r>
        <w:t xml:space="preserve">ID de Aplicación</w:t>
      </w:r>
    </w:p>
    <w:p>
      <w:pPr>
        <w:numPr>
          <w:ilvl w:val="1"/>
          <w:numId w:val="1025"/>
        </w:numPr>
        <w:pStyle w:val="Compact"/>
      </w:pPr>
      <w:r>
        <w:t xml:space="preserve">Nombre de la Aplicación</w:t>
      </w:r>
    </w:p>
    <w:p>
      <w:pPr>
        <w:numPr>
          <w:ilvl w:val="1"/>
          <w:numId w:val="1025"/>
        </w:numPr>
        <w:pStyle w:val="Compact"/>
      </w:pPr>
      <w:r>
        <w:t xml:space="preserve">Descripción</w:t>
      </w:r>
    </w:p>
    <w:p>
      <w:pPr>
        <w:numPr>
          <w:ilvl w:val="1"/>
          <w:numId w:val="1025"/>
        </w:numPr>
        <w:pStyle w:val="Compact"/>
      </w:pPr>
      <w:r>
        <w:t xml:space="preserve">Tipo de Aplicación</w:t>
      </w:r>
    </w:p>
    <w:p>
      <w:pPr>
        <w:numPr>
          <w:ilvl w:val="1"/>
          <w:numId w:val="1025"/>
        </w:numPr>
        <w:pStyle w:val="Compact"/>
      </w:pPr>
      <w:r>
        <w:t xml:space="preserve">Dominio de Negocio</w:t>
      </w:r>
    </w:p>
    <w:p>
      <w:pPr>
        <w:numPr>
          <w:ilvl w:val="1"/>
          <w:numId w:val="1025"/>
        </w:numPr>
        <w:pStyle w:val="Compact"/>
      </w:pPr>
      <w:r>
        <w:t xml:space="preserve">Proceso(s) de Negocio Clave(s)</w:t>
      </w:r>
    </w:p>
    <w:p>
      <w:pPr>
        <w:numPr>
          <w:ilvl w:val="1"/>
          <w:numId w:val="1025"/>
        </w:numPr>
        <w:pStyle w:val="Compact"/>
      </w:pPr>
      <w:r>
        <w:t xml:space="preserve">Tecnología Clave</w:t>
      </w:r>
    </w:p>
    <w:p>
      <w:pPr>
        <w:numPr>
          <w:ilvl w:val="1"/>
          <w:numId w:val="1025"/>
        </w:numPr>
        <w:pStyle w:val="Compact"/>
      </w:pPr>
      <w:r>
        <w:t xml:space="preserve">Proveedor/Desarrollador</w:t>
      </w:r>
    </w:p>
    <w:p>
      <w:pPr>
        <w:numPr>
          <w:ilvl w:val="1"/>
          <w:numId w:val="1025"/>
        </w:numPr>
        <w:pStyle w:val="Compact"/>
      </w:pPr>
      <w:r>
        <w:t xml:space="preserve">Versión Actual</w:t>
      </w:r>
    </w:p>
    <w:p>
      <w:pPr>
        <w:numPr>
          <w:ilvl w:val="1"/>
          <w:numId w:val="1025"/>
        </w:numPr>
        <w:pStyle w:val="Compact"/>
      </w:pPr>
      <w:r>
        <w:t xml:space="preserve">Estado</w:t>
      </w:r>
    </w:p>
    <w:p>
      <w:pPr>
        <w:numPr>
          <w:ilvl w:val="0"/>
          <w:numId w:val="1024"/>
        </w:numPr>
        <w:pStyle w:val="Compact"/>
      </w:pPr>
      <w:r>
        <w:t xml:space="preserve">Caracterización de los sistemas de información del catálogo es la ficha técnica que complementa al catálogo. Incluye datos como actores, subsistemas y componentes candidatos, relaciones base de primer grado, atributos, integraciones candidatas y las acciones o intervenciones a realizar.</w:t>
      </w:r>
    </w:p>
    <w:p>
      <w:pPr>
        <w:numPr>
          <w:ilvl w:val="1"/>
          <w:numId w:val="1026"/>
        </w:numPr>
        <w:pStyle w:val="Compact"/>
      </w:pPr>
      <w:r>
        <w:t xml:space="preserve">Identificación y Descripción General</w:t>
      </w:r>
    </w:p>
    <w:p>
      <w:pPr>
        <w:numPr>
          <w:ilvl w:val="1"/>
          <w:numId w:val="1026"/>
        </w:numPr>
        <w:pStyle w:val="Compact"/>
      </w:pPr>
      <w:r>
        <w:t xml:space="preserve">Contexto de Negocio: propietario, capacidades o procesos, nivel de criticidad para el negocio.</w:t>
      </w:r>
    </w:p>
    <w:p>
      <w:pPr>
        <w:numPr>
          <w:ilvl w:val="1"/>
          <w:numId w:val="1026"/>
        </w:numPr>
        <w:pStyle w:val="Compact"/>
      </w:pPr>
      <w:r>
        <w:t xml:space="preserve">Aspectos Técnicos y Arquitectónicos</w:t>
      </w:r>
    </w:p>
    <w:p>
      <w:pPr>
        <w:numPr>
          <w:ilvl w:val="1"/>
          <w:numId w:val="1026"/>
        </w:numPr>
        <w:pStyle w:val="Compact"/>
      </w:pPr>
      <w:r>
        <w:t xml:space="preserve">Gestión y Mantenimiento: costos recurrentes, como licencias, uso de plataforma, soporte del proveedor; recursos de personal asignado; percepción del valor de negocio aportado.</w:t>
      </w:r>
    </w:p>
    <w:p>
      <w:pPr>
        <w:numPr>
          <w:ilvl w:val="1"/>
          <w:numId w:val="1026"/>
        </w:numPr>
        <w:pStyle w:val="Compact"/>
      </w:pPr>
      <w:r>
        <w:t xml:space="preserve">Estrategia y Relaciones Clave: alineación con la visión de Secretaria de la Alcaldía de Bogotá, proyectos planificados participantes.</w:t>
      </w:r>
    </w:p>
    <w:p>
      <w:pPr>
        <w:pStyle w:val="CaptionedFigure"/>
      </w:pPr>
      <w:r>
        <w:drawing>
          <wp:inline>
            <wp:extent cx="5943600" cy="8270812"/>
            <wp:effectExtent b="0" l="0" r="0" t="0"/>
            <wp:docPr descr="03.1o. Organizacion sistemas informacion. Fuente: Propuesta servicios de ingeniería y evaluación de arquitectura Arquitectura de Aplicaciones Secretaria de la Alcaldía de Bogotá (2025)" title="" id="52" name="Picture"/>
            <a:graphic>
              <a:graphicData uri="http://schemas.openxmlformats.org/drawingml/2006/picture">
                <pic:pic>
                  <pic:nvPicPr>
                    <pic:cNvPr descr="images/03.1o.Organizacionsistemasinformacion.png" id="53" name="Picture"/>
                    <pic:cNvPicPr>
                      <a:picLocks noChangeArrowheads="1" noChangeAspect="1"/>
                    </pic:cNvPicPr>
                  </pic:nvPicPr>
                  <pic:blipFill>
                    <a:blip r:embed="rId51"/>
                    <a:stretch>
                      <a:fillRect/>
                    </a:stretch>
                  </pic:blipFill>
                  <pic:spPr bwMode="auto">
                    <a:xfrm>
                      <a:off x="0" y="0"/>
                      <a:ext cx="5943600" cy="8270812"/>
                    </a:xfrm>
                    <a:prstGeom prst="rect">
                      <a:avLst/>
                    </a:prstGeom>
                    <a:noFill/>
                    <a:ln w="9525">
                      <a:noFill/>
                      <a:headEnd/>
                      <a:tailEnd/>
                    </a:ln>
                  </pic:spPr>
                </pic:pic>
              </a:graphicData>
            </a:graphic>
          </wp:inline>
        </w:drawing>
      </w:r>
    </w:p>
    <w:p>
      <w:pPr>
        <w:pStyle w:val="ImageCaption"/>
      </w:pPr>
      <w:r>
        <w:t xml:space="preserve">Figura 3: 03.1o. Organizacion sistemas informacion.</w:t>
      </w:r>
      <w:r>
        <w:t xml:space="preserve"> </w:t>
      </w:r>
      <w:r>
        <w:rPr>
          <w:iCs/>
          <w:i/>
        </w:rPr>
        <w:t xml:space="preserve">Fuente: Propuesta servicios de ingeniería y evaluación de arquitectura Arquitectura de Aplicaciones Secretaria de la Alcaldía de Bogotá (2025)</w:t>
      </w:r>
    </w:p>
    <w:bookmarkEnd w:id="54"/>
    <w:bookmarkEnd w:id="55"/>
    <w:bookmarkStart w:id="56" w:name="sec:canales-alcaldía"/>
    <w:p>
      <w:pPr>
        <w:pStyle w:val="Heading3"/>
      </w:pPr>
      <w:r>
        <w:t xml:space="preserve">Canales Alcaldía</w:t>
      </w:r>
    </w:p>
    <w:bookmarkEnd w:id="56"/>
    <w:bookmarkStart w:id="57" w:name="sec:supercade-virtual"/>
    <w:p>
      <w:pPr>
        <w:pStyle w:val="Heading3"/>
      </w:pPr>
      <w:r>
        <w:t xml:space="preserve">SuperCADE Virtual</w:t>
      </w:r>
    </w:p>
    <w:p>
      <w:pPr>
        <w:pStyle w:val="FirstParagraph"/>
      </w:pPr>
      <w:r>
        <w:t xml:space="preserve">Red de canales presenciales de atención a ciudadanía.</w:t>
      </w:r>
    </w:p>
    <w:bookmarkEnd w:id="57"/>
    <w:bookmarkStart w:id="58" w:name="sec:chat-bot"/>
    <w:p>
      <w:pPr>
        <w:pStyle w:val="Heading3"/>
      </w:pPr>
      <w:r>
        <w:t xml:space="preserve">Chat-Bot</w:t>
      </w:r>
    </w:p>
    <w:p>
      <w:pPr>
        <w:pStyle w:val="FirstParagraph"/>
      </w:pPr>
      <w:r>
        <w:t xml:space="preserve">Canal web de atención a ciudadanía.</w:t>
      </w:r>
    </w:p>
    <w:bookmarkEnd w:id="58"/>
    <w:bookmarkStart w:id="59" w:name="sec:línea-195"/>
    <w:p>
      <w:pPr>
        <w:pStyle w:val="Heading3"/>
      </w:pPr>
      <w:r>
        <w:t xml:space="preserve">Línea 195</w:t>
      </w:r>
    </w:p>
    <w:p>
      <w:pPr>
        <w:pStyle w:val="FirstParagraph"/>
      </w:pPr>
      <w:r>
        <w:t xml:space="preserve">Canal telefónico de atención a ciudadanía.</w:t>
      </w:r>
    </w:p>
    <w:bookmarkEnd w:id="59"/>
    <w:bookmarkStart w:id="60" w:name="sec:portal-bogotá-capital-digital"/>
    <w:p>
      <w:pPr>
        <w:pStyle w:val="Heading3"/>
      </w:pPr>
      <w:r>
        <w:t xml:space="preserve">Portal Bogotá Capital Digital</w:t>
      </w:r>
    </w:p>
    <w:p>
      <w:pPr>
        <w:pStyle w:val="FirstParagraph"/>
      </w:pPr>
      <w:r>
        <w:t xml:space="preserve">Plataforma de Trámites en línea. Portal Integrador de trámites y servicios ofrecidos a la ciudadanía. Componente de aplicación que permite la realización de trámites digitales.</w:t>
      </w:r>
    </w:p>
    <w:bookmarkEnd w:id="60"/>
    <w:bookmarkStart w:id="61" w:name="Xa0c4f9ee6d85c1fd5cb71a31b3c2d280f2a7831"/>
    <w:p>
      <w:pPr>
        <w:pStyle w:val="Heading3"/>
      </w:pPr>
      <w:r>
        <w:t xml:space="preserve">Sistemas de interacción ciudadana y transparencia</w:t>
      </w:r>
    </w:p>
    <w:bookmarkEnd w:id="61"/>
    <w:bookmarkStart w:id="62" w:name="sec:bogotá-te-escucha"/>
    <w:p>
      <w:pPr>
        <w:pStyle w:val="Heading3"/>
      </w:pPr>
      <w:r>
        <w:t xml:space="preserve">Bogotá Te Escucha</w:t>
      </w:r>
    </w:p>
    <w:p>
      <w:pPr>
        <w:pStyle w:val="FirstParagraph"/>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bookmarkEnd w:id="62"/>
    <w:bookmarkStart w:id="63" w:name="sec:ficha"/>
    <w:p>
      <w:pPr>
        <w:pStyle w:val="Heading3"/>
      </w:pPr>
      <w:r>
        <w:t xml:space="preserve">Ficha</w:t>
      </w:r>
    </w:p>
    <w:tbl>
      <w:tblPr>
        <w:tblStyle w:val="Table"/>
        <w:tblW w:type="pct" w:w="5000"/>
        <w:tblLook w:firstRow="1" w:lastRow="0" w:firstColumn="0" w:lastColumn="0" w:noHBand="0" w:noVBand="0" w:val="0020"/>
        <w:jc w:val="start"/>
        <w:tblLayout w:type="fixed"/>
      </w:tblPr>
      <w:tblGrid>
        <w:gridCol w:w="1108"/>
        <w:gridCol w:w="6811"/>
      </w:tblGrid>
      <w:tr>
        <w:trPr>
          <w:tblHeader w:val="true"/>
        </w:trPr>
        <w:tc>
          <w:tcPr/>
          <w:p>
            <w:pPr>
              <w:pStyle w:val="Compact"/>
              <w:jc w:val="left"/>
            </w:pPr>
            <w:r>
              <w:rPr>
                <w:bCs/>
                <w:b/>
              </w:rPr>
              <w:t xml:space="preserve">Nombre aplicación</w:t>
            </w:r>
          </w:p>
        </w:tc>
        <w:tc>
          <w:tcPr/>
          <w:p>
            <w:pPr>
              <w:pStyle w:val="Compact"/>
              <w:jc w:val="left"/>
            </w:pPr>
            <w:r>
              <w:t xml:space="preserve">Bogotá Te Escucha</w:t>
            </w:r>
          </w:p>
        </w:tc>
      </w:tr>
      <w:tr>
        <w:tc>
          <w:tcPr/>
          <w:p>
            <w:pPr>
              <w:pStyle w:val="Compact"/>
              <w:jc w:val="left"/>
            </w:pPr>
            <w:r>
              <w:rPr>
                <w:bCs/>
                <w:b/>
              </w:rPr>
              <w:t xml:space="preserve">Descripción Funcional</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w:t>
            </w:r>
          </w:p>
        </w:tc>
      </w:tr>
      <w:tr>
        <w:tc>
          <w:tcPr/>
          <w:p>
            <w:pPr>
              <w:pStyle w:val="Compact"/>
              <w:jc w:val="left"/>
            </w:pPr>
            <w:r>
              <w:rPr>
                <w:bCs/>
                <w:b/>
              </w:rPr>
              <w:t xml:space="preserve">Tipo de software</w:t>
            </w:r>
          </w:p>
        </w:tc>
        <w:tc>
          <w:tcPr/>
          <w:p>
            <w:pPr>
              <w:pStyle w:val="Compact"/>
              <w:jc w:val="left"/>
            </w:pPr>
            <w:r>
              <w:t xml:space="preserve">Desarrollo Interno</w:t>
            </w:r>
          </w:p>
        </w:tc>
      </w:tr>
      <w:tr>
        <w:tc>
          <w:tcPr/>
          <w:p>
            <w:pPr>
              <w:pStyle w:val="Compact"/>
              <w:jc w:val="left"/>
            </w:pPr>
            <w:r>
              <w:rPr>
                <w:bCs/>
                <w:b/>
              </w:rPr>
              <w:t xml:space="preserve">Estado</w:t>
            </w:r>
          </w:p>
        </w:tc>
        <w:tc>
          <w:tcPr/>
          <w:p>
            <w:pPr>
              <w:pStyle w:val="Compact"/>
              <w:jc w:val="left"/>
            </w:pPr>
            <w:r>
              <w:t xml:space="preserve">Productivo</w:t>
            </w:r>
          </w:p>
        </w:tc>
      </w:tr>
      <w:tr>
        <w:tc>
          <w:tcPr/>
          <w:p>
            <w:pPr>
              <w:pStyle w:val="Compact"/>
              <w:jc w:val="left"/>
            </w:pPr>
            <w:r>
              <w:rPr>
                <w:bCs/>
                <w:b/>
              </w:rPr>
              <w:t xml:space="preserve">Esquema de licenciamiento</w:t>
            </w:r>
          </w:p>
        </w:tc>
        <w:tc>
          <w:tcPr/>
          <w:p>
            <w:pPr>
              <w:pStyle w:val="Compact"/>
              <w:jc w:val="left"/>
            </w:pPr>
            <w:r>
              <w:t xml:space="preserve">A perpetuidad</w:t>
            </w:r>
          </w:p>
        </w:tc>
      </w:tr>
      <w:tr>
        <w:tc>
          <w:tcPr/>
          <w:p>
            <w:pPr>
              <w:pStyle w:val="Compact"/>
              <w:jc w:val="left"/>
            </w:pPr>
            <w:r>
              <w:rPr>
                <w:bCs/>
                <w:b/>
              </w:rPr>
              <w:t xml:space="preserve">Fabricante</w:t>
            </w:r>
          </w:p>
        </w:tc>
        <w:tc>
          <w:tcPr/>
          <w:p>
            <w:pPr>
              <w:pStyle w:val="Compact"/>
              <w:jc w:val="left"/>
            </w:pPr>
            <w:r>
              <w:t xml:space="preserve">Secretaría General de la Alcaldía Mayor de Bogotá D.C.</w:t>
            </w:r>
          </w:p>
        </w:tc>
      </w:tr>
      <w:tr>
        <w:tc>
          <w:tcPr/>
          <w:p>
            <w:pPr>
              <w:pStyle w:val="Compact"/>
              <w:jc w:val="left"/>
            </w:pPr>
            <w:r>
              <w:rPr>
                <w:bCs/>
                <w:b/>
              </w:rPr>
              <w:t xml:space="preserve">Debilidades o hallazgos estructurales</w:t>
            </w:r>
          </w:p>
        </w:tc>
        <w:tc>
          <w:tcPr/>
          <w:p>
            <w:pPr>
              <w:pStyle w:val="Compact"/>
              <w:jc w:val="left"/>
            </w:pPr>
            <w:r>
              <w:t xml:space="preserve">Ninguna</w:t>
            </w:r>
          </w:p>
        </w:tc>
      </w:tr>
    </w:tbl>
    <w:bookmarkEnd w:id="63"/>
    <w:bookmarkStart w:id="64" w:name="sec:datos-para-transparencia-sati"/>
    <w:p>
      <w:pPr>
        <w:pStyle w:val="Heading3"/>
      </w:pPr>
      <w:r>
        <w:t xml:space="preserve">Datos para Transparencia (SATI)</w:t>
      </w:r>
    </w:p>
    <w:p>
      <w:pPr>
        <w:pStyle w:val="FirstParagraph"/>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bookmarkEnd w:id="64"/>
    <w:bookmarkStart w:id="65" w:name="sec:ficha-1"/>
    <w:p>
      <w:pPr>
        <w:pStyle w:val="Heading3"/>
      </w:pPr>
      <w:r>
        <w:t xml:space="preserve">Ficha</w:t>
      </w:r>
    </w:p>
    <w:tbl>
      <w:tblPr>
        <w:tblStyle w:val="Table"/>
        <w:tblW w:type="pct" w:w="5000"/>
        <w:tblLook w:firstRow="1" w:lastRow="0" w:firstColumn="0" w:lastColumn="0" w:noHBand="0" w:noVBand="0" w:val="0020"/>
        <w:jc w:val="start"/>
        <w:tblLayout w:type="fixed"/>
      </w:tblPr>
      <w:tblGrid>
        <w:gridCol w:w="2004"/>
        <w:gridCol w:w="5915"/>
      </w:tblGrid>
      <w:tr>
        <w:trPr>
          <w:tblHeader w:val="true"/>
        </w:trPr>
        <w:tc>
          <w:tcPr/>
          <w:p>
            <w:pPr>
              <w:pStyle w:val="Compact"/>
              <w:jc w:val="left"/>
            </w:pPr>
            <w:r>
              <w:rPr>
                <w:bCs/>
                <w:b/>
              </w:rPr>
              <w:t xml:space="preserve">Nombre aplicación</w:t>
            </w:r>
          </w:p>
        </w:tc>
        <w:tc>
          <w:tcPr/>
          <w:p>
            <w:pPr>
              <w:pStyle w:val="Compact"/>
              <w:jc w:val="left"/>
            </w:pPr>
            <w:r>
              <w:t xml:space="preserve">Datos para la Transparencia (SATI)</w:t>
            </w:r>
          </w:p>
        </w:tc>
      </w:tr>
      <w:tr>
        <w:tc>
          <w:tcPr/>
          <w:p>
            <w:pPr>
              <w:pStyle w:val="Compact"/>
              <w:jc w:val="left"/>
            </w:pPr>
            <w:r>
              <w:rPr>
                <w:bCs/>
                <w:b/>
              </w:rPr>
              <w:t xml:space="preserve">Descripción Funcional</w:t>
            </w:r>
          </w:p>
        </w:tc>
        <w:tc>
          <w:tcPr/>
          <w:p>
            <w:pPr>
              <w:pStyle w:val="Compact"/>
              <w:jc w:val="left"/>
            </w:pPr>
            <w:r>
              <w:t xml:space="preserve">Tableros de control con datos relevantes, actualizados y comprensibles, incluyendo alertas tempranas contra la corrupción</w:t>
            </w:r>
          </w:p>
        </w:tc>
      </w:tr>
      <w:tr>
        <w:tc>
          <w:tcPr/>
          <w:p>
            <w:pPr>
              <w:pStyle w:val="Compact"/>
              <w:jc w:val="left"/>
            </w:pPr>
            <w:r>
              <w:rPr>
                <w:bCs/>
                <w:b/>
              </w:rPr>
              <w:t xml:space="preserve">Tipo de software</w:t>
            </w:r>
          </w:p>
        </w:tc>
        <w:tc>
          <w:tcPr/>
          <w:p>
            <w:pPr>
              <w:pStyle w:val="Compact"/>
              <w:jc w:val="left"/>
            </w:pPr>
            <w:r>
              <w:t xml:space="preserve">Desarrollo Interno</w:t>
            </w:r>
          </w:p>
        </w:tc>
      </w:tr>
      <w:tr>
        <w:tc>
          <w:tcPr/>
          <w:p>
            <w:pPr>
              <w:pStyle w:val="Compact"/>
              <w:jc w:val="left"/>
            </w:pPr>
            <w:r>
              <w:rPr>
                <w:bCs/>
                <w:b/>
              </w:rPr>
              <w:t xml:space="preserve">Estado</w:t>
            </w:r>
          </w:p>
        </w:tc>
        <w:tc>
          <w:tcPr/>
          <w:p>
            <w:pPr>
              <w:pStyle w:val="Compact"/>
              <w:jc w:val="left"/>
            </w:pPr>
            <w:r>
              <w:t xml:space="preserve">Productivo</w:t>
            </w:r>
          </w:p>
        </w:tc>
      </w:tr>
      <w:tr>
        <w:tc>
          <w:tcPr/>
          <w:p>
            <w:pPr>
              <w:pStyle w:val="Compact"/>
              <w:jc w:val="left"/>
            </w:pPr>
            <w:r>
              <w:rPr>
                <w:bCs/>
                <w:b/>
              </w:rPr>
              <w:t xml:space="preserve">Esquema de licenciamiento</w:t>
            </w:r>
          </w:p>
        </w:tc>
        <w:tc>
          <w:tcPr/>
          <w:p>
            <w:pPr>
              <w:pStyle w:val="Compact"/>
              <w:jc w:val="left"/>
            </w:pPr>
            <w:r>
              <w:t xml:space="preserve">A perpetuidad</w:t>
            </w:r>
          </w:p>
        </w:tc>
      </w:tr>
      <w:tr>
        <w:tc>
          <w:tcPr/>
          <w:p>
            <w:pPr>
              <w:pStyle w:val="Compact"/>
              <w:jc w:val="left"/>
            </w:pPr>
            <w:r>
              <w:rPr>
                <w:bCs/>
                <w:b/>
              </w:rPr>
              <w:t xml:space="preserve">Fabricante</w:t>
            </w:r>
          </w:p>
        </w:tc>
        <w:tc>
          <w:tcPr/>
          <w:p>
            <w:pPr>
              <w:pStyle w:val="Compact"/>
              <w:jc w:val="left"/>
            </w:pPr>
            <w:r>
              <w:t xml:space="preserve">Secretaría General de la Alcaldía Mayor de Bogotá D.C.</w:t>
            </w:r>
          </w:p>
        </w:tc>
      </w:tr>
      <w:tr>
        <w:tc>
          <w:tcPr/>
          <w:p>
            <w:pPr>
              <w:pStyle w:val="Compact"/>
              <w:jc w:val="left"/>
            </w:pPr>
            <w:r>
              <w:rPr>
                <w:bCs/>
                <w:b/>
              </w:rPr>
              <w:t xml:space="preserve">Debilidades o hallazgos estructurales</w:t>
            </w:r>
          </w:p>
        </w:tc>
        <w:tc>
          <w:tcPr/>
          <w:p>
            <w:pPr>
              <w:pStyle w:val="Compact"/>
              <w:jc w:val="left"/>
            </w:pPr>
            <w:r>
              <w:t xml:space="preserve">Lanzamiento del nuevo diseño de la plataforma de datos para la transparencia.</w:t>
            </w:r>
          </w:p>
        </w:tc>
      </w:tr>
    </w:tbl>
    <w:bookmarkEnd w:id="65"/>
    <w:bookmarkStart w:id="66" w:name="sec:emlaze"/>
    <w:p>
      <w:pPr>
        <w:pStyle w:val="Heading3"/>
      </w:pPr>
      <w:r>
        <w:t xml:space="preserve">EMLAZE</w:t>
      </w:r>
    </w:p>
    <w:p>
      <w:pPr>
        <w:pStyle w:val="FirstParagraph"/>
      </w:pPr>
      <w:r>
        <w:t xml:space="preserve">Sistema para la planeación de recursos empresariales (ERP) de la Imprenta Distrital y control de ejecución y consumo de insumos en el ejercicio de imprenta.</w:t>
      </w:r>
    </w:p>
    <w:bookmarkEnd w:id="66"/>
    <w:bookmarkStart w:id="67" w:name="sec:moviapp"/>
    <w:p>
      <w:pPr>
        <w:pStyle w:val="Heading3"/>
      </w:pPr>
      <w:r>
        <w:t xml:space="preserve">MoviApp</w:t>
      </w:r>
    </w:p>
    <w:p>
      <w:pPr>
        <w:pStyle w:val="FirstParagraph"/>
      </w:pPr>
      <w:r>
        <w:t xml:space="preserve">Canal móvil de atención a ciudadanía. Sesión levantamiento no. 2.</w:t>
      </w:r>
    </w:p>
    <w:bookmarkEnd w:id="67"/>
    <w:bookmarkStart w:id="68" w:name="X5b9300c4a52cc9fee4d1507e9d007c0fe64212e"/>
    <w:p>
      <w:pPr>
        <w:pStyle w:val="Heading3"/>
      </w:pPr>
      <w:r>
        <w:t xml:space="preserve">Sistemas de gestión administrativa y financiera</w:t>
      </w:r>
    </w:p>
    <w:bookmarkEnd w:id="68"/>
    <w:bookmarkStart w:id="69" w:name="sec:admon"/>
    <w:p>
      <w:pPr>
        <w:pStyle w:val="Heading3"/>
      </w:pPr>
      <w:r>
        <w:t xml:space="preserve">ADMON</w:t>
      </w:r>
    </w:p>
    <w:p>
      <w:pPr>
        <w:pStyle w:val="FirstParagraph"/>
      </w:pPr>
      <w:r>
        <w:t xml:space="preserve">Se relaciona con la gestión financiera, gestión de servicios administrativos y tecnológicos, y gestión de recursos físicos.</w:t>
      </w:r>
    </w:p>
    <w:bookmarkEnd w:id="69"/>
    <w:bookmarkStart w:id="70" w:name="sec:administrativo-y-financiero"/>
    <w:p>
      <w:pPr>
        <w:pStyle w:val="Heading3"/>
      </w:pPr>
      <w:r>
        <w:t xml:space="preserve">Administrativo y Financiero</w:t>
      </w:r>
    </w:p>
    <w:p>
      <w:pPr>
        <w:pStyle w:val="FirstParagraph"/>
      </w:pPr>
      <w:r>
        <w:t xml:space="preserve">Sistema de soporta la gestión financiera, gestión de servicios administrativos y tecnológicos, y gestión de recursos físicos. Incluye los siguientes módulos/sistemas: Módulo de Personal y Nómina (PERNO, heredado de SICAPITAL), Administración de costos y facturación de los Cades y Supercades (FACTURACIÓN), Libro Mayor (LIMAY, heredado de SICAPITAL), Sistema de control de gestión de elementos de consumo (SAE, heredado de SICAPITAL), Sistema control de gestión de elementos devolutivos (SAI, heredado de SICAPITAL), Registro y control de la información de presupuesto de la Secretaría General (SIPRES), Sistema para manejo y control del presupuesto de regalías (SIPRES REGALIAS), Registro y control de la información contractual de la Secretaría General (CONTRACTUAL), Sistema para manejo de contratos con presupuesto de regalías (CONTRACTUAL REGALIAS).</w:t>
      </w:r>
    </w:p>
    <w:bookmarkEnd w:id="70"/>
    <w:bookmarkStart w:id="71" w:name="sec:siga"/>
    <w:p>
      <w:pPr>
        <w:pStyle w:val="Heading3"/>
      </w:pPr>
      <w:r>
        <w:t xml:space="preserve">SIGA</w:t>
      </w:r>
    </w:p>
    <w:p>
      <w:pPr>
        <w:pStyle w:val="FirstParagraph"/>
      </w:pPr>
      <w:r>
        <w:t xml:space="preserve">Sistema Integrado de Gestión Documental, Archivo y Correspondencia.</w:t>
      </w:r>
    </w:p>
    <w:bookmarkEnd w:id="71"/>
    <w:bookmarkStart w:id="72" w:name="sec:ficha-2"/>
    <w:p>
      <w:pPr>
        <w:pStyle w:val="Heading3"/>
      </w:pPr>
      <w:r>
        <w:t xml:space="preserve">Ficha</w:t>
      </w:r>
    </w:p>
    <w:tbl>
      <w:tblPr>
        <w:tblStyle w:val="Table"/>
        <w:tblW w:type="pct" w:w="5000"/>
        <w:tblLook w:firstRow="1" w:lastRow="0" w:firstColumn="0" w:lastColumn="0" w:noHBand="0" w:noVBand="0" w:val="0020"/>
        <w:jc w:val="start"/>
        <w:tblLayout w:type="fixed"/>
      </w:tblPr>
      <w:tblGrid>
        <w:gridCol w:w="3006"/>
        <w:gridCol w:w="4913"/>
      </w:tblGrid>
      <w:tr>
        <w:trPr>
          <w:tblHeader w:val="true"/>
        </w:trPr>
        <w:tc>
          <w:tcPr/>
          <w:p>
            <w:pPr>
              <w:pStyle w:val="Compact"/>
              <w:jc w:val="left"/>
            </w:pPr>
            <w:r>
              <w:rPr>
                <w:bCs/>
                <w:b/>
              </w:rPr>
              <w:t xml:space="preserve">Nombre aplicación</w:t>
            </w:r>
          </w:p>
        </w:tc>
        <w:tc>
          <w:tcPr/>
          <w:p>
            <w:pPr>
              <w:pStyle w:val="Compact"/>
              <w:jc w:val="left"/>
            </w:pPr>
            <w:r>
              <w:t xml:space="preserve">SIGA</w:t>
            </w:r>
          </w:p>
        </w:tc>
      </w:tr>
      <w:tr>
        <w:tc>
          <w:tcPr/>
          <w:p>
            <w:pPr>
              <w:pStyle w:val="Compact"/>
              <w:jc w:val="left"/>
            </w:pPr>
            <w:r>
              <w:rPr>
                <w:bCs/>
                <w:b/>
              </w:rPr>
              <w:t xml:space="preserve">Descripción Funcional</w:t>
            </w:r>
          </w:p>
        </w:tc>
        <w:tc>
          <w:tcPr/>
          <w:p>
            <w:pPr>
              <w:pStyle w:val="Compact"/>
              <w:jc w:val="left"/>
            </w:pPr>
            <w:r>
              <w:t xml:space="preserve">Sistema Integrado de Gestión Documental, Archivo y Correspondencia.</w:t>
            </w:r>
          </w:p>
        </w:tc>
      </w:tr>
      <w:tr>
        <w:tc>
          <w:tcPr/>
          <w:p>
            <w:pPr>
              <w:pStyle w:val="Compact"/>
              <w:jc w:val="left"/>
            </w:pPr>
            <w:r>
              <w:rPr>
                <w:bCs/>
                <w:b/>
              </w:rPr>
              <w:t xml:space="preserve">Tipo de software</w:t>
            </w:r>
          </w:p>
        </w:tc>
        <w:tc>
          <w:tcPr/>
          <w:p>
            <w:pPr>
              <w:pStyle w:val="Compact"/>
              <w:jc w:val="left"/>
            </w:pPr>
            <w:r>
              <w:t xml:space="preserve">Desarrollo Interno</w:t>
            </w:r>
          </w:p>
        </w:tc>
      </w:tr>
      <w:tr>
        <w:tc>
          <w:tcPr/>
          <w:p>
            <w:pPr>
              <w:pStyle w:val="Compact"/>
              <w:jc w:val="left"/>
            </w:pPr>
            <w:r>
              <w:rPr>
                <w:bCs/>
                <w:b/>
              </w:rPr>
              <w:t xml:space="preserve">Estado</w:t>
            </w:r>
          </w:p>
        </w:tc>
        <w:tc>
          <w:tcPr/>
          <w:p>
            <w:pPr>
              <w:pStyle w:val="Compact"/>
              <w:jc w:val="left"/>
            </w:pPr>
            <w:r>
              <w:t xml:space="preserve">Productivo</w:t>
            </w:r>
          </w:p>
        </w:tc>
      </w:tr>
      <w:tr>
        <w:tc>
          <w:tcPr/>
          <w:p>
            <w:pPr>
              <w:pStyle w:val="Compact"/>
              <w:jc w:val="left"/>
            </w:pPr>
            <w:r>
              <w:rPr>
                <w:bCs/>
                <w:b/>
              </w:rPr>
              <w:t xml:space="preserve">Esquema de licenciamiento</w:t>
            </w:r>
          </w:p>
        </w:tc>
        <w:tc>
          <w:tcPr/>
          <w:p>
            <w:pPr>
              <w:pStyle w:val="Compact"/>
              <w:jc w:val="left"/>
            </w:pPr>
            <w:r>
              <w:t xml:space="preserve">A perpetuidad</w:t>
            </w:r>
          </w:p>
        </w:tc>
      </w:tr>
      <w:tr>
        <w:tc>
          <w:tcPr/>
          <w:p>
            <w:pPr>
              <w:pStyle w:val="Compact"/>
              <w:jc w:val="left"/>
            </w:pPr>
            <w:r>
              <w:rPr>
                <w:bCs/>
                <w:b/>
              </w:rPr>
              <w:t xml:space="preserve">Fabricante</w:t>
            </w:r>
          </w:p>
        </w:tc>
        <w:tc>
          <w:tcPr/>
          <w:p>
            <w:pPr>
              <w:pStyle w:val="Compact"/>
              <w:jc w:val="left"/>
            </w:pPr>
            <w:r>
              <w:t xml:space="preserve">Secretaría General de la Alcaldía Mayor de Bogotá D.C.</w:t>
            </w:r>
          </w:p>
        </w:tc>
      </w:tr>
      <w:tr>
        <w:tc>
          <w:tcPr/>
          <w:p>
            <w:pPr>
              <w:pStyle w:val="Compact"/>
              <w:jc w:val="left"/>
            </w:pPr>
            <w:r>
              <w:rPr>
                <w:bCs/>
                <w:b/>
              </w:rPr>
              <w:t xml:space="preserve">Debilidades o hallazgos estructurales</w:t>
            </w:r>
          </w:p>
        </w:tc>
        <w:tc>
          <w:tcPr/>
          <w:p>
            <w:pPr>
              <w:pStyle w:val="Compact"/>
              <w:jc w:val="left"/>
            </w:pPr>
            <w:r>
              <w:t xml:space="preserve">Ninguna</w:t>
            </w:r>
          </w:p>
        </w:tc>
      </w:tr>
    </w:tbl>
    <w:bookmarkEnd w:id="72"/>
    <w:bookmarkStart w:id="73" w:name="sec:sistema-gestión-documental"/>
    <w:p>
      <w:pPr>
        <w:pStyle w:val="Heading3"/>
      </w:pPr>
      <w:r>
        <w:t xml:space="preserve">Sistema Gestión Documental</w:t>
      </w:r>
    </w:p>
    <w:p>
      <w:pPr>
        <w:pStyle w:val="FirstParagraph"/>
      </w:pPr>
      <w:r>
        <w:t xml:space="preserve">Componente de aplicación para la gestión electrónica de documentos.</w:t>
      </w:r>
    </w:p>
    <w:bookmarkEnd w:id="73"/>
    <w:bookmarkStart w:id="74" w:name="sec:daruma"/>
    <w:p>
      <w:pPr>
        <w:pStyle w:val="Heading3"/>
      </w:pPr>
      <w:r>
        <w:t xml:space="preserve">DARUMA</w:t>
      </w:r>
    </w:p>
    <w:p>
      <w:pPr>
        <w:pStyle w:val="FirstParagraph"/>
      </w:pPr>
      <w:r>
        <w:t xml:space="preserve">Sistema para el registro de documentos de procesos, procedimientos, formatos, entre otros, como insumos de la Gestión de Calidad.</w:t>
      </w:r>
    </w:p>
    <w:bookmarkEnd w:id="74"/>
    <w:bookmarkStart w:id="75" w:name="sec:sat-web"/>
    <w:p>
      <w:pPr>
        <w:pStyle w:val="Heading3"/>
      </w:pPr>
      <w:r>
        <w:t xml:space="preserve">SAT Web</w:t>
      </w:r>
    </w:p>
    <w:p>
      <w:pPr>
        <w:pStyle w:val="FirstParagraph"/>
      </w:pPr>
      <w:r>
        <w:t xml:space="preserve">Sistema de Asignación de Turnos en los puntos de atención a la ciudadanía (Red Cade).</w:t>
      </w:r>
    </w:p>
    <w:bookmarkEnd w:id="75"/>
    <w:bookmarkStart w:id="76" w:name="sec:glpi"/>
    <w:p>
      <w:pPr>
        <w:pStyle w:val="Heading3"/>
      </w:pPr>
      <w:r>
        <w:t xml:space="preserve">GLPI</w:t>
      </w:r>
    </w:p>
    <w:p>
      <w:pPr>
        <w:pStyle w:val="FirstParagraph"/>
      </w:pPr>
      <w:r>
        <w:t xml:space="preserve">Sistema de soporta a la gestión de servicios administrativos y tecnológicos, donde se registran y gestionan las solicitudes de servicios TIC.</w:t>
      </w:r>
    </w:p>
    <w:bookmarkEnd w:id="76"/>
    <w:bookmarkStart w:id="77" w:name="sec:pandora"/>
    <w:p>
      <w:pPr>
        <w:pStyle w:val="Heading3"/>
      </w:pPr>
      <w:r>
        <w:t xml:space="preserve">PANDORA</w:t>
      </w:r>
    </w:p>
    <w:p>
      <w:pPr>
        <w:pStyle w:val="FirstParagraph"/>
      </w:pPr>
      <w:r>
        <w:t xml:space="preserve">Implementación de temas precontractual y planeación.</w:t>
      </w:r>
    </w:p>
    <w:bookmarkEnd w:id="77"/>
    <w:bookmarkStart w:id="78" w:name="sec:comisiones"/>
    <w:p>
      <w:pPr>
        <w:pStyle w:val="Heading3"/>
      </w:pPr>
      <w:r>
        <w:t xml:space="preserve">Comisiones</w:t>
      </w:r>
    </w:p>
    <w:p>
      <w:pPr>
        <w:pStyle w:val="FirstParagraph"/>
      </w:pPr>
      <w:r>
        <w:t xml:space="preserve">Sesión levantamiento no. 1.</w:t>
      </w:r>
    </w:p>
    <w:bookmarkEnd w:id="78"/>
    <w:bookmarkStart w:id="79" w:name="X5ac2c53f142561c8b7c8ffb474be1f545594c44"/>
    <w:p>
      <w:pPr>
        <w:pStyle w:val="Heading3"/>
      </w:pPr>
      <w:r>
        <w:t xml:space="preserve">Sistemas de fortalecimiento de capacidades y conocimiento</w:t>
      </w:r>
    </w:p>
    <w:bookmarkEnd w:id="79"/>
    <w:bookmarkStart w:id="80" w:name="sec:bogotá-aprende-tic"/>
    <w:p>
      <w:pPr>
        <w:pStyle w:val="Heading3"/>
      </w:pPr>
      <w:r>
        <w:t xml:space="preserve">Bogotá Aprende TIC</w:t>
      </w:r>
    </w:p>
    <w:p>
      <w:pPr>
        <w:pStyle w:val="FirstParagraph"/>
      </w:pPr>
      <w:r>
        <w:t xml:space="preserve">Portal de apoya los procesos de Gobierno abierto y relacionamiento con la ciudadanía, y Fortalecimiento de la Gestión Pública.</w:t>
      </w:r>
    </w:p>
    <w:bookmarkEnd w:id="80"/>
    <w:bookmarkStart w:id="81" w:name="sec:globo"/>
    <w:p>
      <w:pPr>
        <w:pStyle w:val="Heading3"/>
      </w:pPr>
      <w:r>
        <w:t xml:space="preserve">GLOBO</w:t>
      </w:r>
    </w:p>
    <w:p>
      <w:pPr>
        <w:pStyle w:val="FirstParagraph"/>
      </w:pPr>
      <w:r>
        <w:t xml:space="preserve">Registro de acciones de cooperación internacional. Utilizado en el proceso de Fortalecimiento de la Gestión Pública.</w:t>
      </w:r>
    </w:p>
    <w:bookmarkEnd w:id="81"/>
    <w:bookmarkStart w:id="82" w:name="sec:sudivc"/>
    <w:p>
      <w:pPr>
        <w:pStyle w:val="Heading3"/>
      </w:pPr>
      <w:r>
        <w:t xml:space="preserve">SUDIVC</w:t>
      </w:r>
    </w:p>
    <w:p>
      <w:pPr>
        <w:pStyle w:val="FirstParagraph"/>
      </w:pPr>
      <w:r>
        <w:t xml:space="preserve">Sistema Unificado Distrital de Inspección, Vigilancia y Control – SUDIVC.</w:t>
      </w:r>
    </w:p>
    <w:bookmarkEnd w:id="82"/>
    <w:bookmarkStart w:id="83" w:name="sec:humanapp"/>
    <w:p>
      <w:pPr>
        <w:pStyle w:val="Heading3"/>
      </w:pPr>
      <w:r>
        <w:t xml:space="preserve">HUMANAPP</w:t>
      </w:r>
    </w:p>
    <w:p>
      <w:pPr>
        <w:pStyle w:val="FirstParagraph"/>
      </w:pPr>
      <w:r>
        <w:t xml:space="preserve">Apoya la gestión del talento humano. Aplicativo de generación de desprendibles de pago para funcionarios y certificaciones laborales, de seguridad social y de ingresos y retenciones.</w:t>
      </w:r>
    </w:p>
    <w:bookmarkEnd w:id="83"/>
    <w:bookmarkStart w:id="84"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bookmarkEnd w:id="84"/>
    <w:bookmarkStart w:id="85" w:name="sec:koha"/>
    <w:p>
      <w:pPr>
        <w:pStyle w:val="Heading3"/>
      </w:pPr>
      <w:r>
        <w:t xml:space="preserve">KOHA</w:t>
      </w:r>
    </w:p>
    <w:p>
      <w:pPr>
        <w:pStyle w:val="FirstParagraph"/>
      </w:pPr>
      <w:r>
        <w:t xml:space="preserve">Sistema Integrado de Gestión de Bibliotecas. Relacionado con la Gestión del conocimiento.</w:t>
      </w:r>
    </w:p>
    <w:bookmarkEnd w:id="85"/>
    <w:bookmarkStart w:id="86" w:name="sec:data-warehouse"/>
    <w:p>
      <w:pPr>
        <w:pStyle w:val="Heading3"/>
      </w:pPr>
      <w:r>
        <w:t xml:space="preserve">Data Warehouse</w:t>
      </w:r>
    </w:p>
    <w:p>
      <w:pPr>
        <w:pStyle w:val="FirstParagraph"/>
      </w:pPr>
      <w:r>
        <w:t xml:space="preserve">Almacenes de datos de trabajo de SG. Bodega de datos con diversas fuentes de información para el análisis y transformación de datos de interés.</w:t>
      </w:r>
    </w:p>
    <w:bookmarkEnd w:id="86"/>
    <w:bookmarkStart w:id="87" w:name="sec:gestión-académica"/>
    <w:p>
      <w:pPr>
        <w:pStyle w:val="Heading3"/>
      </w:pPr>
      <w:r>
        <w:t xml:space="preserve">Gestión Académica</w:t>
      </w:r>
    </w:p>
    <w:p>
      <w:pPr>
        <w:pStyle w:val="FirstParagraph"/>
      </w:pPr>
      <w:r>
        <w:t xml:space="preserve">Moodle para capacitación de servidores de la Entidad en diferentes temas. Relacionado con la Gestión del conocimiento.</w:t>
      </w:r>
    </w:p>
    <w:bookmarkEnd w:id="87"/>
    <w:bookmarkStart w:id="88" w:name="sec:sivic"/>
    <w:p>
      <w:pPr>
        <w:pStyle w:val="Heading3"/>
      </w:pPr>
      <w:r>
        <w:t xml:space="preserve">SIVIC</w:t>
      </w:r>
    </w:p>
    <w:p>
      <w:pPr>
        <w:pStyle w:val="FirstParagraph"/>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bookmarkEnd w:id="88"/>
    <w:bookmarkStart w:id="89" w:name="sec:avanti"/>
    <w:p>
      <w:pPr>
        <w:pStyle w:val="Heading3"/>
      </w:pPr>
      <w:r>
        <w:t xml:space="preserve">AVANTI</w:t>
      </w:r>
    </w:p>
    <w:p>
      <w:pPr>
        <w:pStyle w:val="FirstParagraph"/>
      </w:pPr>
      <w:r>
        <w:t xml:space="preserve">Sistema de Información para registrar avance de programación y seguimiento de metas plan de desarrollo de las entidades distritales SDARIV relacionadas con atención integral a las víctimas.</w:t>
      </w:r>
    </w:p>
    <w:bookmarkEnd w:id="89"/>
    <w:bookmarkStart w:id="90" w:name="sec:sistemas-de-desarrollo"/>
    <w:p>
      <w:pPr>
        <w:pStyle w:val="Heading3"/>
      </w:pPr>
      <w:r>
        <w:t xml:space="preserve">Sistemas de desarrollo</w:t>
      </w:r>
    </w:p>
    <w:bookmarkEnd w:id="90"/>
    <w:bookmarkStart w:id="91" w:name="sec:gitlab"/>
    <w:p>
      <w:pPr>
        <w:pStyle w:val="Heading3"/>
      </w:pPr>
      <w:r>
        <w:t xml:space="preserve">Gitlab</w:t>
      </w:r>
    </w:p>
    <w:p>
      <w:pPr>
        <w:pStyle w:val="FirstParagraph"/>
      </w:pPr>
      <w:r>
        <w:t xml:space="preserve">Plataforma de desarrollo de software y colaboración.</w:t>
      </w:r>
    </w:p>
    <w:bookmarkEnd w:id="91"/>
    <w:bookmarkStart w:id="92" w:name="sec:ofimática-y-colaboración"/>
    <w:p>
      <w:pPr>
        <w:pStyle w:val="Heading3"/>
      </w:pPr>
      <w:r>
        <w:t xml:space="preserve">Ofimática y colaboración</w:t>
      </w:r>
    </w:p>
    <w:bookmarkEnd w:id="92"/>
    <w:bookmarkStart w:id="93" w:name="sec:office-365"/>
    <w:p>
      <w:pPr>
        <w:pStyle w:val="Heading3"/>
      </w:pPr>
      <w:r>
        <w:t xml:space="preserve">Office 365</w:t>
      </w:r>
    </w:p>
    <w:p>
      <w:pPr>
        <w:pStyle w:val="FirstParagraph"/>
      </w:pPr>
      <w:r>
        <w:t xml:space="preserve">Herramientas de ofimática y colaboración SG.</w:t>
      </w:r>
    </w:p>
    <w:bookmarkEnd w:id="93"/>
    <w:bookmarkEnd w:id="94"/>
    <w:bookmarkEnd w:id="95"/>
    <w:sectPr w:rsidR="00AB089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2AA4586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D4C8BE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1D8E7D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1C8213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4ECC0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C14ABB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037C2D8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ADC9AC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A65EE90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B8EC7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364356724" w:numId="1">
    <w:abstractNumId w:val="10"/>
  </w:num>
  <w:num w16cid:durableId="113401524" w:numId="2">
    <w:abstractNumId w:val="0"/>
  </w:num>
  <w:num w16cid:durableId="1405177949" w:numId="3">
    <w:abstractNumId w:val="1"/>
  </w:num>
  <w:num w16cid:durableId="716123686" w:numId="4">
    <w:abstractNumId w:val="2"/>
  </w:num>
  <w:num w16cid:durableId="1033850677" w:numId="5">
    <w:abstractNumId w:val="3"/>
  </w:num>
  <w:num w16cid:durableId="920456473" w:numId="6">
    <w:abstractNumId w:val="8"/>
  </w:num>
  <w:num w16cid:durableId="234585026" w:numId="7">
    <w:abstractNumId w:val="4"/>
  </w:num>
  <w:num w16cid:durableId="301228998" w:numId="8">
    <w:abstractNumId w:val="5"/>
  </w:num>
  <w:num w16cid:durableId="1272786476" w:numId="9">
    <w:abstractNumId w:val="6"/>
  </w:num>
  <w:num w16cid:durableId="669790401" w:numId="10">
    <w:abstractNumId w:val="7"/>
  </w:num>
  <w:num w16cid:durableId="1869178267"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547D0B"/>
    <w:rPr>
      <w:rFonts w:ascii="Times New Roman" w:hAnsi="Times New Roman"/>
      <w:sz w:val="18"/>
      <w:szCs w:val="20"/>
      <w:lang w:val="en"/>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0"/>
      </w:numPr>
      <w:contextualSpacing/>
    </w:pPr>
  </w:style>
  <w:style w:customStyle="1" w:styleId="BodyTextChar" w:type="character">
    <w:name w:val="Body Text Char"/>
    <w:basedOn w:val="DefaultParagraphFont"/>
    <w:link w:val="BodyText"/>
    <w:rsid w:val="00BE4DDE"/>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2025-08-08T21:26:46Z</dcterms:created>
  <dcterms:modified xsi:type="dcterms:W3CDTF">2025-08-08T21:26:46Z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