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1.aed3ac4 - Compilación para entrega: accion-actualizacionContd (6b4452f) - Wed, 23 Jul 2025 21:50:46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1.93d5526 - Compilación para entrega: accion-actualizacionContd (a42cb37) - Wed, 23 Jul 2025 20:27:32 +0000</w:t>
      </w:r>
    </w:p>
    <w:p>
      <w:pPr>
        <w:pStyle w:val="BodyText"/>
      </w:pPr>
      <w:r>
        <w:t xml:space="preserve">1.53054a2 - Compilación para entrega: accion-actualizacionContd (7c10fe8) - Wed, 23 Jul 2025 20:10:40 +0000</w:t>
      </w:r>
    </w:p>
    <w:p>
      <w:pPr>
        <w:pStyle w:val="BodyText"/>
      </w:pPr>
      <w:r>
        <w:t xml:space="preserve">1.df1daf6 - Compilación para entrega: accion-actualizacionContd (b135ed9) - Wed, 23 Jul 2025 19:38:44 +0000</w:t>
      </w:r>
    </w:p>
    <w:p>
      <w:pPr>
        <w:pStyle w:val="BodyText"/>
      </w:pPr>
      <w:r>
        <w:t xml:space="preserve">1.fa3659d - Compilación para entrega: accion-actualizacionContd (bb7d611) - Wed, 23 Jul 2025 19:14:14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3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34" w:name="X0dfed88e1982bd14c512174813fc79fcfe6afff"/>
    <w:p>
      <w:pPr>
        <w:pStyle w:val="Heading2"/>
      </w:pPr>
      <w:r>
        <w:t xml:space="preserve">Entregables Fase I de la Visión AE de SG</w:t>
      </w:r>
    </w:p>
    <w:p>
      <w:pPr>
        <w:pStyle w:val="FirstParagraph"/>
      </w:pPr>
    </w:p>
    <w:p>
      <w:pPr>
        <w:pStyle w:val="CaptionedFigure"/>
      </w:pPr>
      <w:r>
        <w:drawing>
          <wp:inline>
            <wp:extent cx="5829300" cy="4914900"/>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5829300" cy="4914900"/>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elementos-del-modelo-1"/>
    <w:p>
      <w:pPr>
        <w:pStyle w:val="Heading3"/>
      </w:pPr>
      <w:r>
        <w:t xml:space="preserve">Elementos del Modelo</w:t>
      </w:r>
    </w:p>
    <w:p>
      <w:pPr>
        <w:numPr>
          <w:ilvl w:val="0"/>
          <w:numId w:val="1001"/>
        </w:numPr>
        <w:pStyle w:val="Compact"/>
      </w:pPr>
      <w:r>
        <w:rPr>
          <w:bCs/>
          <w:b/>
        </w:rPr>
        <w:t xml:space="preserve">Matriz de Sistemas de Información</w:t>
      </w:r>
      <w:r>
        <w:t xml:space="preserve">. 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FirstParagraph"/>
      </w:pPr>
      <w:r>
        <w:t xml:space="preserve">En resumen,</w:t>
      </w:r>
    </w:p>
    <w:p>
      <w:pPr>
        <w:numPr>
          <w:ilvl w:val="0"/>
          <w:numId w:val="1002"/>
        </w:numPr>
        <w:pStyle w:val="Compact"/>
      </w:pPr>
      <w:r>
        <w:t xml:space="preserve">Las matrices son cruciales para especificar cómo debe relacionarse la información entre los sistemas y otros dominios</w:t>
      </w:r>
    </w:p>
    <w:p>
      <w:pPr>
        <w:numPr>
          <w:ilvl w:val="0"/>
          <w:numId w:val="1002"/>
        </w:numPr>
        <w:pStyle w:val="Compact"/>
      </w:pPr>
      <w:r>
        <w:t xml:space="preserve">proporcionan información crítica para los proyectos que involucren a los sistemas de SG.</w:t>
      </w:r>
    </w:p>
    <w:p>
      <w:pPr>
        <w:numPr>
          <w:ilvl w:val="0"/>
          <w:numId w:val="1002"/>
        </w:numPr>
        <w:pStyle w:val="Compact"/>
      </w:pPr>
      <w:r>
        <w:t xml:space="preserve">Contribuye a la determinación de brechas (gaps) en las necesidades de compartir información (o funciones de los sistemas) ente los elementos de la matriz.</w:t>
      </w:r>
    </w:p>
    <w:p>
      <w:pPr>
        <w:numPr>
          <w:ilvl w:val="0"/>
          <w:numId w:val="1002"/>
        </w:numPr>
        <w:pStyle w:val="Compact"/>
      </w:pPr>
      <w:r>
        <w:t xml:space="preserve">La matriz ayuda a definir el nivel de detalle de lo que se comparte.</w:t>
      </w:r>
    </w:p>
    <w:p>
      <w:pPr>
        <w:numPr>
          <w:ilvl w:val="0"/>
          <w:numId w:val="1002"/>
        </w:numPr>
        <w:pStyle w:val="Compact"/>
      </w:pPr>
      <w:r>
        <w:t xml:space="preserve">Se deben establecer medidas similares para la interoperabilidad de servicios/negocios y la infraestructura (tecnología física).</w:t>
      </w:r>
    </w:p>
    <w:p>
      <w:pPr>
        <w:numPr>
          <w:ilvl w:val="0"/>
          <w:numId w:val="1002"/>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p>
      <w:pPr>
        <w:numPr>
          <w:ilvl w:val="0"/>
          <w:numId w:val="1003"/>
        </w:numPr>
        <w:pStyle w:val="Compact"/>
      </w:pPr>
      <w:r>
        <w:rPr>
          <w:bCs/>
          <w:b/>
        </w:rPr>
        <w:t xml:space="preserve">Matriz de Sistemas de Información vs Procesos de Negocio</w:t>
      </w:r>
      <w:r>
        <w:rPr>
          <w:bCs/>
          <w:b/>
        </w:rPr>
        <w:t xml:space="preserve"> </w:t>
      </w:r>
      <w:r>
        <w:t xml:space="preserve">. 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FirstParagraph"/>
      </w:pPr>
      <w:r>
        <w:t xml:space="preserve">En resumen,</w:t>
      </w:r>
    </w:p>
    <w:p>
      <w:pPr>
        <w:numPr>
          <w:ilvl w:val="0"/>
          <w:numId w:val="1004"/>
        </w:numPr>
        <w:pStyle w:val="Compact"/>
      </w:pPr>
      <w:r>
        <w:t xml:space="preserve">Las matrices son cruciales para especificar cómo debe relacionarse la información entre los sistemas y otros dominios</w:t>
      </w:r>
    </w:p>
    <w:p>
      <w:pPr>
        <w:numPr>
          <w:ilvl w:val="0"/>
          <w:numId w:val="1004"/>
        </w:numPr>
        <w:pStyle w:val="Compact"/>
      </w:pPr>
      <w:r>
        <w:t xml:space="preserve">proporcionan información crítica para los proyectos que involucren a los sistemas de SG.</w:t>
      </w:r>
    </w:p>
    <w:p>
      <w:pPr>
        <w:numPr>
          <w:ilvl w:val="0"/>
          <w:numId w:val="1004"/>
        </w:numPr>
        <w:pStyle w:val="Compact"/>
      </w:pPr>
      <w:r>
        <w:t xml:space="preserve">Contribuye a la determinación de brechas (gaps) en las necesidades de compartir información (o funciones de los sistemas) ente los elementos de la matriz.</w:t>
      </w:r>
    </w:p>
    <w:p>
      <w:pPr>
        <w:numPr>
          <w:ilvl w:val="0"/>
          <w:numId w:val="1004"/>
        </w:numPr>
        <w:pStyle w:val="Compact"/>
      </w:pPr>
      <w:r>
        <w:t xml:space="preserve">La matriz ayuda a definir el nivel de detalle de lo que se comparte.</w:t>
      </w:r>
    </w:p>
    <w:p>
      <w:pPr>
        <w:numPr>
          <w:ilvl w:val="0"/>
          <w:numId w:val="1004"/>
        </w:numPr>
        <w:pStyle w:val="Compact"/>
      </w:pPr>
      <w:r>
        <w:t xml:space="preserve">Se deben establecer medidas similares para la interoperabilidad de servicios/negocios y la infraestructura (tecnología física).</w:t>
      </w:r>
    </w:p>
    <w:p>
      <w:pPr>
        <w:numPr>
          <w:ilvl w:val="0"/>
          <w:numId w:val="1004"/>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p>
      <w:pPr>
        <w:numPr>
          <w:ilvl w:val="0"/>
          <w:numId w:val="1005"/>
        </w:numPr>
        <w:pStyle w:val="Compact"/>
      </w:pPr>
      <w:r>
        <w:rPr>
          <w:bCs/>
          <w:b/>
        </w:rPr>
        <w:t xml:space="preserve">Catálogo de Sistemas de Información</w:t>
      </w:r>
      <w:r>
        <w:t xml:space="preserve">. En el contexto de TOGAF, El Catálogo de sistemas de información es un inventario detallado y documentado que actúa como ficha técnica de los sistemas de información o aplicaciones de software de SG.</w:t>
      </w:r>
    </w:p>
    <w:p>
      <w:pPr>
        <w:pStyle w:val="FirstParagraph"/>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End w:id="33"/>
    <w:bookmarkEnd w:id="34"/>
    <w:bookmarkStart w:id="35" w:name="sec:contenido-mínimo-del-catálogo"/>
    <w:p>
      <w:pPr>
        <w:pStyle w:val="Heading2"/>
      </w:pPr>
      <w:r>
        <w:t xml:space="preserve">Contenido Mínimo del Catálogo</w:t>
      </w:r>
    </w:p>
    <w:p>
      <w:pPr>
        <w:numPr>
          <w:ilvl w:val="0"/>
          <w:numId w:val="1006"/>
        </w:numPr>
        <w:pStyle w:val="Compact"/>
      </w:pPr>
      <w:r>
        <w:t xml:space="preserve">ID de Aplicación. Código de identificación de la aplicación de software.</w:t>
      </w:r>
    </w:p>
    <w:p>
      <w:pPr>
        <w:numPr>
          <w:ilvl w:val="0"/>
          <w:numId w:val="1006"/>
        </w:numPr>
        <w:pStyle w:val="Compact"/>
      </w:pPr>
      <w:r>
        <w:t xml:space="preserve">Nombre de la Aplicación. Nombre de identificación de la aplicación de software.</w:t>
      </w:r>
    </w:p>
    <w:p>
      <w:pPr>
        <w:numPr>
          <w:ilvl w:val="0"/>
          <w:numId w:val="1006"/>
        </w:numPr>
        <w:pStyle w:val="Compact"/>
      </w:pPr>
      <w:r>
        <w:t xml:space="preserve">Descripción. Funcionamiento básico de la aplicación de software.</w:t>
      </w:r>
    </w:p>
    <w:p>
      <w:pPr>
        <w:numPr>
          <w:ilvl w:val="0"/>
          <w:numId w:val="1006"/>
        </w:numPr>
        <w:pStyle w:val="Compact"/>
      </w:pPr>
      <w:r>
        <w:t xml:space="preserve">Estado: [En producción, en desmantelamiento, en implementación, Inactiva]</w:t>
      </w:r>
    </w:p>
    <w:p>
      <w:pPr>
        <w:numPr>
          <w:ilvl w:val="0"/>
          <w:numId w:val="1006"/>
        </w:numPr>
        <w:pStyle w:val="Compact"/>
      </w:pPr>
      <w:r>
        <w:t xml:space="preserve">Categoría: [Sistema de apoyo al negocio (misional), herramienta de gestión, Ofimática, Seguridad]</w:t>
      </w:r>
    </w:p>
    <w:p>
      <w:pPr>
        <w:numPr>
          <w:ilvl w:val="0"/>
          <w:numId w:val="1006"/>
        </w:numPr>
        <w:pStyle w:val="Compact"/>
      </w:pPr>
      <w:r>
        <w:t xml:space="preserve">Proceso(s) de Negocio Clave(s)</w:t>
      </w:r>
    </w:p>
    <w:p>
      <w:pPr>
        <w:numPr>
          <w:ilvl w:val="0"/>
          <w:numId w:val="1006"/>
        </w:numPr>
        <w:pStyle w:val="Compact"/>
      </w:pPr>
      <w:r>
        <w:t xml:space="preserve">Capacidad: Capacidades de nivel 2 relacionadas con la aplicación de software.</w:t>
      </w:r>
    </w:p>
    <w:p>
      <w:pPr>
        <w:numPr>
          <w:ilvl w:val="0"/>
          <w:numId w:val="1006"/>
        </w:numPr>
        <w:pStyle w:val="Compact"/>
      </w:pPr>
      <w:r>
        <w:t xml:space="preserve">Tipo de aplicación: Web, Móvil, Cliente Servidor</w:t>
      </w:r>
    </w:p>
    <w:p>
      <w:pPr>
        <w:numPr>
          <w:ilvl w:val="0"/>
          <w:numId w:val="1006"/>
        </w:numPr>
        <w:pStyle w:val="Compact"/>
      </w:pPr>
      <w:r>
        <w:t xml:space="preserve">Método de despliegue: on-premises, cloud SAAS, cloud PAAS, cloud IAAS</w:t>
      </w:r>
    </w:p>
    <w:p>
      <w:pPr>
        <w:numPr>
          <w:ilvl w:val="0"/>
          <w:numId w:val="1006"/>
        </w:numPr>
        <w:pStyle w:val="Compact"/>
      </w:pPr>
      <w:r>
        <w:t xml:space="preserve">Tecnología. Aspectos técnicos de la aplicación de software.</w:t>
      </w:r>
    </w:p>
    <w:p>
      <w:pPr>
        <w:numPr>
          <w:ilvl w:val="0"/>
          <w:numId w:val="1006"/>
        </w:numPr>
        <w:pStyle w:val="Compact"/>
      </w:pPr>
      <w:r>
        <w:t xml:space="preserve">Versión actual de la tecnología</w:t>
      </w:r>
    </w:p>
    <w:p>
      <w:pPr>
        <w:numPr>
          <w:ilvl w:val="0"/>
          <w:numId w:val="1006"/>
        </w:numPr>
        <w:pStyle w:val="Compact"/>
      </w:pPr>
      <w:r>
        <w:t xml:space="preserve">Responsable técnico en la entidad</w:t>
      </w:r>
    </w:p>
    <w:p>
      <w:pPr>
        <w:numPr>
          <w:ilvl w:val="0"/>
          <w:numId w:val="1006"/>
        </w:numPr>
        <w:pStyle w:val="Compact"/>
      </w:pPr>
      <w:r>
        <w:t xml:space="preserve">Responsable funcional en la entidad</w:t>
      </w:r>
    </w:p>
    <w:p>
      <w:pPr>
        <w:numPr>
          <w:ilvl w:val="0"/>
          <w:numId w:val="1006"/>
        </w:numPr>
        <w:pStyle w:val="Compact"/>
      </w:pPr>
      <w:r>
        <w:t xml:space="preserve">Fabricante</w:t>
      </w:r>
    </w:p>
    <w:p>
      <w:pPr>
        <w:numPr>
          <w:ilvl w:val="0"/>
          <w:numId w:val="1006"/>
        </w:numPr>
        <w:pStyle w:val="Compact"/>
      </w:pPr>
      <w:r>
        <w:t xml:space="preserve">Proveedor de soporte externo</w:t>
      </w:r>
    </w:p>
    <w:p>
      <w:pPr>
        <w:numPr>
          <w:ilvl w:val="0"/>
          <w:numId w:val="1006"/>
        </w:numPr>
        <w:pStyle w:val="Compact"/>
      </w:pPr>
      <w:r>
        <w:t xml:space="preserve">Fecha de vigencia de soporte externo</w:t>
      </w:r>
    </w:p>
    <w:p>
      <w:pPr>
        <w:numPr>
          <w:ilvl w:val="0"/>
          <w:numId w:val="1006"/>
        </w:numPr>
        <w:pStyle w:val="Compact"/>
      </w:pPr>
      <w:r>
        <w:t xml:space="preserve">Nombre de servidor. Nombre de red del entorno o nodo contenedor de la aplicación de software.</w:t>
      </w:r>
    </w:p>
    <w:p>
      <w:pPr>
        <w:numPr>
          <w:ilvl w:val="0"/>
          <w:numId w:val="1006"/>
        </w:numPr>
        <w:pStyle w:val="Compact"/>
      </w:pPr>
      <w:r>
        <w:t xml:space="preserve">Criticidad de negocio</w:t>
      </w:r>
    </w:p>
    <w:p>
      <w:pPr>
        <w:pStyle w:val="FirstParagraph"/>
      </w:pPr>
      <w:r>
        <w:t xml:space="preserve">El Catálogo de aplicaciones de SG procura beneficios estratégicos y operativos:</w:t>
      </w:r>
    </w:p>
    <w:p>
      <w:pPr>
        <w:numPr>
          <w:ilvl w:val="0"/>
          <w:numId w:val="1007"/>
        </w:numPr>
      </w:pPr>
      <w:r>
        <w:t xml:space="preserve">Unifica la documentación y la comunicación: Es un artefacto clave para documentar, comprender y comunicar el panorama actual y futuro de las aplicaciones.</w:t>
      </w:r>
    </w:p>
    <w:p>
      <w:pPr>
        <w:numPr>
          <w:ilvl w:val="0"/>
          <w:numId w:val="1007"/>
        </w:numPr>
      </w:pPr>
      <w:r>
        <w:t xml:space="preserve">Base para la toma de decisiones: Sirve como base para la toma de decisiones en la gestión y gobierno de las capacidades de los sistemas de SG, y del portafolio y ciclo de vida de las aplicaciones.</w:t>
      </w:r>
    </w:p>
    <w:p>
      <w:pPr>
        <w:numPr>
          <w:ilvl w:val="0"/>
          <w:numId w:val="1007"/>
        </w:numPr>
      </w:pPr>
      <w:r>
        <w:t xml:space="preserve">Facilita la actualización continua: Permite la actualización continua de las características y atributos relevantes de los sistemas de información.</w:t>
      </w:r>
    </w:p>
    <w:p>
      <w:pPr>
        <w:numPr>
          <w:ilvl w:val="0"/>
          <w:numId w:val="1007"/>
        </w:numPr>
      </w:pPr>
      <w:r>
        <w:rPr>
          <w:bCs/>
          <w:b/>
        </w:rPr>
        <w:t xml:space="preserve">Identificar Necesidades TI en SG</w:t>
      </w:r>
      <w:r>
        <w:t xml:space="preserve">. La construcción de lista de necesidades, preocupaciones y oportunidades implican a las sesiones de levantamiento, entrevistas, y cuestionarios compartidos en el mes de julio, junto con la recopilación estructurada de las fuentes de información sobre cada sistema.</w:t>
      </w:r>
    </w:p>
    <w:p>
      <w:pPr>
        <w:pStyle w:val="FirstParagraph"/>
      </w:pPr>
      <w:r>
        <w:t xml:space="preserve">Necesidades de Transformación Digital y Tecnológica</w:t>
      </w:r>
      <w:r>
        <w:t xml:space="preserve"> </w:t>
      </w:r>
      <w:r>
        <w:t xml:space="preserve">La transformación digital (objetivo estratégico de SG) es un motor fundamental para alinear las estrategias, procesos y tecnologías de la Secretaría General. Esta transformación busca:</w:t>
      </w:r>
    </w:p>
    <w:p>
      <w:pPr>
        <w:numPr>
          <w:ilvl w:val="0"/>
          <w:numId w:val="1008"/>
        </w:numPr>
      </w:pPr>
      <w:r>
        <w:t xml:space="preserve">Impulsar la transformación digital para alinear estrategias, procesos y tecnologías</w:t>
      </w:r>
    </w:p>
    <w:p>
      <w:pPr>
        <w:numPr>
          <w:ilvl w:val="0"/>
          <w:numId w:val="1008"/>
        </w:numPr>
      </w:pPr>
      <w:r>
        <w:t xml:space="preserve">(Necesidad) la Modernización y Eficiencia Pública (Driver)</w:t>
      </w:r>
    </w:p>
    <w:p>
      <w:pPr>
        <w:numPr>
          <w:ilvl w:val="0"/>
          <w:numId w:val="1008"/>
        </w:numPr>
      </w:pPr>
      <w:r>
        <w:t xml:space="preserve">Cerrar las brechas en la Política de Gobierno Digital, de la cual la Arquitectura Empresarial es un habilitador clave.</w:t>
      </w:r>
    </w:p>
    <w:p>
      <w:pPr>
        <w:numPr>
          <w:ilvl w:val="0"/>
          <w:numId w:val="1008"/>
        </w:numPr>
      </w:pPr>
      <w:r>
        <w:t xml:space="preserve">Modernizar la infraestructura tecnológica obsoleta para asegurar su continuidad y disponibilidad.</w:t>
      </w:r>
    </w:p>
    <w:p>
      <w:pPr>
        <w:numPr>
          <w:ilvl w:val="0"/>
          <w:numId w:val="1008"/>
        </w:numPr>
      </w:pPr>
      <w:r>
        <w:t xml:space="preserve">Integrar plataformas y ecosistemas digitales y superar la falta de interoperabilidad.</w:t>
      </w:r>
    </w:p>
    <w:p>
      <w:pPr>
        <w:numPr>
          <w:ilvl w:val="0"/>
          <w:numId w:val="1008"/>
        </w:numPr>
      </w:pPr>
      <w:r>
        <w:t xml:space="preserve">Automatizar trámites y estandarizar la gestión y gobernanza de datos públicos.</w:t>
      </w:r>
    </w:p>
    <w:p>
      <w:pPr>
        <w:numPr>
          <w:ilvl w:val="0"/>
          <w:numId w:val="1008"/>
        </w:numPr>
      </w:pPr>
      <w:r>
        <w:t xml:space="preserve">Adquirir software especializado en análisis de datos para mejorar la toma de decisiones basada en evidencia.</w:t>
      </w:r>
    </w:p>
    <w:p>
      <w:pPr>
        <w:numPr>
          <w:ilvl w:val="0"/>
          <w:numId w:val="1008"/>
        </w:numPr>
      </w:pPr>
      <w:r>
        <w:t xml:space="preserve">Generar análisis predictivos y prospectivos de resultados de gestión, que son insumos para la toma de decisiones.</w:t>
      </w:r>
    </w:p>
    <w:p>
      <w:pPr>
        <w:numPr>
          <w:ilvl w:val="0"/>
          <w:numId w:val="1008"/>
        </w:numPr>
      </w:pPr>
      <w:r>
        <w:t xml:space="preserve">Contar con disponibilidad de personal adecuado para actualizar plataformas tecnológicas y la gstión de las cargas de trabajo es una necesidad identificada para este eje.</w:t>
      </w:r>
    </w:p>
    <w:p>
      <w:pPr>
        <w:numPr>
          <w:ilvl w:val="0"/>
          <w:numId w:val="1008"/>
        </w:numPr>
      </w:pPr>
      <w:r>
        <w:t xml:space="preserve">Aprovechar nuevas tecnologías como la Inteligencia Artificial, la minería de datos, el procesamiento del lenguaje, para mejorar los procesos y la relación con la ciudadanía.</w:t>
      </w:r>
    </w:p>
    <w:p>
      <w:pPr>
        <w:numPr>
          <w:ilvl w:val="0"/>
          <w:numId w:val="1008"/>
        </w:numPr>
      </w:pPr>
      <w:r>
        <w:t xml:space="preserve">Abordar los altos costos de la tecnología que limitan la implementación de sistemas avanzados. (??)</w:t>
      </w:r>
    </w:p>
    <w:p>
      <w:pPr>
        <w:numPr>
          <w:ilvl w:val="0"/>
          <w:numId w:val="1008"/>
        </w:numPr>
      </w:pPr>
      <w:r>
        <w:t xml:space="preserve">Fortalecer la ciberseguridad y seguridad de la información para proteger la integridad, disponibilidad y confidencialidad de los datos y prevenir ataques.</w:t>
      </w:r>
    </w:p>
    <w:p>
      <w:pPr>
        <w:pStyle w:val="FirstParagraph"/>
      </w:pPr>
      <w:r>
        <w:t xml:space="preserve">Necesidades Específicas del Dominio de Aplicaciones de software</w:t>
      </w:r>
      <w:r>
        <w:t xml:space="preserve"> </w:t>
      </w:r>
      <w:r>
        <w:t xml:space="preserve">Esta capa se refiere al comportamiento de las aplicaciones que apoyan el negocio, la estructura de esas aplicaciones y su relación con los objetos de datos que utilizan.</w:t>
      </w:r>
    </w:p>
    <w:p>
      <w:pPr>
        <w:pStyle w:val="BodyText"/>
      </w:pPr>
      <w:r>
        <w:t xml:space="preserve">Para los Componentes de Aplicación (Application Component) y Servicios de Aplicación (Application Service) de SG:</w:t>
      </w:r>
    </w:p>
    <w:p>
      <w:pPr>
        <w:numPr>
          <w:ilvl w:val="0"/>
          <w:numId w:val="1009"/>
        </w:numPr>
      </w:pPr>
      <w:r>
        <w:t xml:space="preserve">Adquirir software especializado en análisis de datos: implica la necesidad de incorporar de nuevos componentes de aplicación (Application Component).</w:t>
      </w:r>
    </w:p>
    <w:p>
      <w:pPr>
        <w:numPr>
          <w:ilvl w:val="0"/>
          <w:numId w:val="1009"/>
        </w:numPr>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09"/>
        </w:numPr>
      </w:pPr>
      <w:r>
        <w:t xml:space="preserve">Mejorar la capacidad de las herramientas tecnológicas para el soporte a la toma de decisiones y la gestión: requiere la mejora de las Funcionalidad (Application Function) y Componentes de Aplicación actuales asociadas a esta capacidad.</w:t>
      </w:r>
    </w:p>
    <w:p>
      <w:pPr>
        <w:numPr>
          <w:ilvl w:val="0"/>
          <w:numId w:val="1009"/>
        </w:numPr>
      </w:pPr>
      <w:r>
        <w:rPr>
          <w:bCs/>
          <w:b/>
        </w:rPr>
        <w:t xml:space="preserve">Identificar Preocupaciones</w:t>
      </w:r>
      <w:r>
        <w:t xml:space="preserve">. 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numPr>
          <w:ilvl w:val="0"/>
          <w:numId w:val="1010"/>
        </w:numPr>
        <w:pStyle w:val="Compact"/>
      </w:pPr>
      <w:r>
        <w:t xml:space="preserve">Deficiente apropiación del conocimiento en procesos de tecnologías de la información, lo que genera demora en la solución de los servicios de tecnologías de la información [2].</w:t>
      </w:r>
    </w:p>
    <w:p>
      <w:pPr>
        <w:numPr>
          <w:ilvl w:val="0"/>
          <w:numId w:val="1010"/>
        </w:numPr>
        <w:pStyle w:val="Compact"/>
      </w:pPr>
      <w:r>
        <w:t xml:space="preserve">Equipos tecnológicos obsoletos que generan dificultad en la ejecución de las actividades que desarrolla la entidad [3].</w:t>
      </w:r>
    </w:p>
    <w:p>
      <w:pPr>
        <w:numPr>
          <w:ilvl w:val="0"/>
          <w:numId w:val="1010"/>
        </w:numPr>
        <w:pStyle w:val="Compact"/>
      </w:pPr>
      <w:r>
        <w:t xml:space="preserve">Fallas recurrentes en el funcionamiento de los sistemas de información y plataformas tecnológicas de la entidad, que afectan la continuidad del servicio y generan retrasos y reprocesos en la ejecución de las actividades [4].</w:t>
      </w:r>
    </w:p>
    <w:p>
      <w:pPr>
        <w:numPr>
          <w:ilvl w:val="0"/>
          <w:numId w:val="1010"/>
        </w:numPr>
        <w:pStyle w:val="Compact"/>
      </w:pPr>
      <w:r>
        <w:t xml:space="preserve">Insuficiencia en la capacidad de las herramientas tecnológicas de la entidad que pueden obstaculizar la obtención y descarga de material probatorio relevante para el adelantamiento de procesos disciplinarios [5].</w:t>
      </w:r>
    </w:p>
    <w:p>
      <w:pPr>
        <w:numPr>
          <w:ilvl w:val="0"/>
          <w:numId w:val="1010"/>
        </w:numPr>
        <w:pStyle w:val="Compact"/>
      </w:pPr>
      <w:r>
        <w:t xml:space="preserve">Falta de un software que le permita a la entidad extraer una información dinámica que sirva como insumo para la toma de decisiones [6].</w:t>
      </w:r>
    </w:p>
    <w:p>
      <w:pPr>
        <w:numPr>
          <w:ilvl w:val="0"/>
          <w:numId w:val="1010"/>
        </w:numPr>
        <w:pStyle w:val="Compact"/>
      </w:pPr>
      <w:r>
        <w:t xml:space="preserve">Se realizan análisis descriptivos, pero no predictivos y prospectivos de los resultados de la gestión de la entidad, lo que dificulta la toma de decisiones basada en evidencia [7].</w:t>
      </w:r>
    </w:p>
    <w:p>
      <w:pPr>
        <w:numPr>
          <w:ilvl w:val="0"/>
          <w:numId w:val="1010"/>
        </w:numPr>
        <w:pStyle w:val="Compact"/>
      </w:pPr>
      <w:r>
        <w:t xml:space="preserve">Falta de personal para actualizar las plataformas tecnológicas, lo que genera retrasos en la operación de la entidad [8].</w:t>
      </w:r>
    </w:p>
    <w:p>
      <w:pPr>
        <w:numPr>
          <w:ilvl w:val="0"/>
          <w:numId w:val="1010"/>
        </w:numPr>
        <w:pStyle w:val="Compact"/>
      </w:pPr>
      <w:r>
        <w:t xml:space="preserve">Deficiente conectividad y falta de interoperabilidad de las plataformas tecnológicas [8].</w:t>
      </w:r>
    </w:p>
    <w:p>
      <w:pPr>
        <w:numPr>
          <w:ilvl w:val="0"/>
          <w:numId w:val="1010"/>
        </w:numPr>
        <w:pStyle w:val="Compact"/>
      </w:pPr>
      <w:r>
        <w:t xml:space="preserve">Cambios en las plataformas tecnológicas que no interactúan con las anteriores, generando posibles pérdidas de información y reprocesos [9].</w:t>
      </w:r>
    </w:p>
    <w:p>
      <w:pPr>
        <w:numPr>
          <w:ilvl w:val="0"/>
          <w:numId w:val="1010"/>
        </w:numPr>
        <w:pStyle w:val="Compact"/>
      </w:pPr>
      <w:r>
        <w:t xml:space="preserve">La inestabilidad de la conectividad, indisponibilidad de servidores de información y vulnerabilidad en la seguridad informática, lo que puede comprometer la operatividad, la integridad de los datos críticos de la entidad y el cumplimiento de las metas [10].</w:t>
      </w:r>
    </w:p>
    <w:p>
      <w:pPr>
        <w:numPr>
          <w:ilvl w:val="0"/>
          <w:numId w:val="1010"/>
        </w:numPr>
        <w:pStyle w:val="Compact"/>
      </w:pPr>
      <w:r>
        <w:t xml:space="preserve">La vulneración de la inviolabilidad de acceso a cuentas de correo institucionales y aplicativos, lo que afecta la reserva de la información relacionada con el trámite de procesos disciplinarios [10].</w:t>
      </w:r>
    </w:p>
    <w:p>
      <w:pPr>
        <w:numPr>
          <w:ilvl w:val="0"/>
          <w:numId w:val="1010"/>
        </w:numPr>
        <w:pStyle w:val="Compact"/>
      </w:pPr>
      <w:r>
        <w:t xml:space="preserve">Obsolescencia tecnológica que implica la necesidad de renovación de los equipos y dificulta la prestación de los servicios de la entidad [11].</w:t>
      </w:r>
    </w:p>
    <w:p>
      <w:pPr>
        <w:numPr>
          <w:ilvl w:val="0"/>
          <w:numId w:val="1010"/>
        </w:numPr>
        <w:pStyle w:val="Compact"/>
      </w:pPr>
      <w:r>
        <w:t xml:space="preserve">Los altos costos de la tecnología pueden limitar la capacidad de la entidad para implementar y mantener sistemas avanzados y eficientes [11].</w:t>
      </w:r>
    </w:p>
    <w:p>
      <w:pPr>
        <w:numPr>
          <w:ilvl w:val="0"/>
          <w:numId w:val="1010"/>
        </w:numPr>
        <w:pStyle w:val="Compact"/>
      </w:pPr>
      <w:r>
        <w:t xml:space="preserve">Materialización de riesgos asociados a ataques cibernéticos, e ingeniería social, suplantación de identidad, entre otros, que ponen en riesgo la seguridad de la información y los documentos (pérdida de la confidencialidad, integridad y disponibilidad de la información) y afectan la continuidad operativa [12].</w:t>
      </w:r>
    </w:p>
    <w:p>
      <w:pPr>
        <w:numPr>
          <w:ilvl w:val="0"/>
          <w:numId w:val="1010"/>
        </w:numPr>
        <w:pStyle w:val="Compact"/>
      </w:pPr>
      <w:r>
        <w:t xml:space="preserve">Estas debilidades resaltan la necesidad de modernizar la infraestructura y sistemas tecnológicos, mejorar la gestión de datos para análisis predictivos, fortalecer la ciberseguridad, y asegurar la capacitación y el personal adecuado para la gestión tecnológica [2-12].</w:t>
      </w:r>
    </w:p>
    <w:p>
      <w:pPr>
        <w:numPr>
          <w:ilvl w:val="0"/>
          <w:numId w:val="1011"/>
        </w:numPr>
        <w:pStyle w:val="Compact"/>
      </w:pPr>
      <w:r>
        <w:rPr>
          <w:bCs/>
          <w:b/>
        </w:rPr>
        <w:t xml:space="preserve">Identificar Oportunidades</w:t>
      </w:r>
      <w:r>
        <w:t xml:space="preserve">. 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FirstParagraph"/>
      </w:pPr>
      <w:r>
        <w:t xml:space="preserve">Fuente: Sección</w:t>
      </w:r>
      <w:r>
        <w:t xml:space="preserve"> </w:t>
      </w:r>
      <w:r>
        <w:t xml:space="preserve">“</w:t>
      </w:r>
      <w:r>
        <w:t xml:space="preserve">10.15.1 Resultado de la gestión de las oportunidades vigencia 2023</w:t>
      </w:r>
      <w:r>
        <w:t xml:space="preserve">”</w:t>
      </w:r>
      <w:r>
        <w:t xml:space="preserve"> </w:t>
      </w:r>
      <w:r>
        <w:t xml:space="preserve">del documento “contexto_estrategico_-4202000-ot-066-_v05.pdf” [1-13],</w:t>
      </w:r>
    </w:p>
    <w:p>
      <w:pPr>
        <w:pStyle w:val="BodyText"/>
      </w:pPr>
      <w:r>
        <w:t xml:space="preserve">Las oportunidades tecnológicas y de mejora de sistemas de información mencionadas indicadas en estas fuentes se centran en:</w:t>
      </w:r>
    </w:p>
    <w:p>
      <w:pPr>
        <w:numPr>
          <w:ilvl w:val="0"/>
          <w:numId w:val="1012"/>
        </w:numPr>
      </w:pPr>
      <w:r>
        <w:t xml:space="preserve">Modernización de la infraestructura y sistemas tecnológicos,</w:t>
      </w:r>
    </w:p>
    <w:p>
      <w:pPr>
        <w:numPr>
          <w:ilvl w:val="1"/>
          <w:numId w:val="1013"/>
        </w:numPr>
        <w:pStyle w:val="Compact"/>
      </w:pPr>
      <w:r>
        <w:t xml:space="preserve">Las nuevas tecnologías, especialmente la Inteligencia Artificial (IA), ofrecen la oportunidad de mejorar los procesos y herramientas de relacionamiento con la ciudadanía [15]. Bogotá ya ha empezado a incorporar tecnologías como IA, Big Data e Internet de las Cosas (IoT) en la planificación urbana y la prestación de servicios [16].</w:t>
      </w:r>
    </w:p>
    <w:p>
      <w:pPr>
        <w:numPr>
          <w:ilvl w:val="1"/>
          <w:numId w:val="1013"/>
        </w:numPr>
        <w:pStyle w:val="Compact"/>
      </w:pPr>
      <w:r>
        <w:t xml:space="preserve">Una oportunidad es la adquisición de software especializado en análisis de datos para la toma de decisiones que ya poseen otras entidades [17].</w:t>
      </w:r>
    </w:p>
    <w:p>
      <w:pPr>
        <w:numPr>
          <w:ilvl w:val="0"/>
          <w:numId w:val="1012"/>
        </w:numPr>
      </w:pPr>
      <w:r>
        <w:t xml:space="preserve">Integración y automatización de procesos,</w:t>
      </w:r>
    </w:p>
    <w:p>
      <w:pPr>
        <w:numPr>
          <w:ilvl w:val="1"/>
          <w:numId w:val="1014"/>
        </w:numPr>
        <w:pStyle w:val="Compact"/>
      </w:pPr>
      <w:r>
        <w:t xml:space="preserve">Se identifican oportunidades para tener herramientas que evalúen el soporte tecnológico personalizado, flexible y configurable para las operaciones de los procesos jurídicos [26].</w:t>
      </w:r>
    </w:p>
    <w:p>
      <w:pPr>
        <w:numPr>
          <w:ilvl w:val="1"/>
          <w:numId w:val="1014"/>
        </w:numPr>
        <w:pStyle w:val="Compact"/>
      </w:pPr>
      <w:r>
        <w:t xml:space="preserve">Se buscan mejores controles e integración del sistema de régimen legal de la Secretaría Jurídica [27].</w:t>
      </w:r>
    </w:p>
    <w:p>
      <w:pPr>
        <w:numPr>
          <w:ilvl w:val="1"/>
          <w:numId w:val="1014"/>
        </w:numPr>
        <w:pStyle w:val="Compact"/>
      </w:pPr>
      <w:r>
        <w:t xml:space="preserve">También se necesitan mejores controles e integración de los sistemas de información como, los sistemas GLOBO (de gestión internacional), el sistema de proyectos GLPI, entre otros</w:t>
      </w:r>
    </w:p>
    <w:p>
      <w:pPr>
        <w:numPr>
          <w:ilvl w:val="0"/>
          <w:numId w:val="1012"/>
        </w:numPr>
      </w:pPr>
      <w:r>
        <w:t xml:space="preserve">Fortalecimiento de la seguridad digital,</w:t>
      </w:r>
    </w:p>
    <w:p>
      <w:pPr>
        <w:numPr>
          <w:ilvl w:val="1"/>
          <w:numId w:val="1015"/>
        </w:numPr>
        <w:pStyle w:val="Compact"/>
      </w:pPr>
      <w:r>
        <w:t xml:space="preserve">Una oportunidad es la adquisición de software especializado en análisis de datos para la toma de decisiones que ya poseen otras entidades [17].</w:t>
      </w:r>
    </w:p>
    <w:p>
      <w:pPr>
        <w:numPr>
          <w:ilvl w:val="0"/>
          <w:numId w:val="1012"/>
        </w:numPr>
      </w:pPr>
      <w:r>
        <w:t xml:space="preserve">Mejora de la comunicación pública a través de medios digitales,</w:t>
      </w:r>
    </w:p>
    <w:p>
      <w:pPr>
        <w:numPr>
          <w:ilvl w:val="1"/>
          <w:numId w:val="1016"/>
        </w:numPr>
        <w:pStyle w:val="Compact"/>
      </w:pPr>
      <w:r>
        <w:t xml:space="preserve">Se busca la consolidación de herramientas, canales e información para fortalecer la oferta y celeridad de servicios y la participación ciudadana [11]. Esto incluye el seguimiento a canales de atención virtual como SuperCADE Virtual, chat, chat-Bot y videollamadas de la línea 195 [11].</w:t>
      </w:r>
    </w:p>
    <w:p>
      <w:pPr>
        <w:numPr>
          <w:ilvl w:val="1"/>
          <w:numId w:val="1016"/>
        </w:numPr>
        <w:pStyle w:val="Compact"/>
      </w:pPr>
      <w:r>
        <w:t xml:space="preserve">Se busca optimizar los procesos de recolección, análisis y divulgación de la información mediante la implementación de sistemas de información que contengan la automatización de la recolección de datos y el uso de herramientas analíticas [15].</w:t>
      </w:r>
    </w:p>
    <w:p>
      <w:pPr>
        <w:numPr>
          <w:ilvl w:val="1"/>
          <w:numId w:val="1016"/>
        </w:numPr>
        <w:pStyle w:val="Compact"/>
      </w:pPr>
      <w:r>
        <w:t xml:space="preserve">Una noticia reciente destaca que el Distrito unifica en el portal Bogotá su oferta de trámites y servicios, el cual permite acceder a más de 1.400 trámites y servicios y realizar pagos en línea (no tributarios) y agendamiento de citas en la RedCADE desde casa [40]. Esto representa una mejora significativa en la accesibilidad y eficiencia de los servicios digitales para la ciudadanía.</w:t>
      </w:r>
    </w:p>
    <w:p>
      <w:pPr>
        <w:numPr>
          <w:ilvl w:val="0"/>
          <w:numId w:val="1012"/>
        </w:numPr>
      </w:pPr>
      <w:r>
        <w:t xml:space="preserve">Capacitación en nuevas tecnologías (…).</w:t>
      </w:r>
    </w:p>
    <w:p>
      <w:pPr>
        <w:numPr>
          <w:ilvl w:val="0"/>
          <w:numId w:val="1012"/>
        </w:numPr>
      </w:pPr>
      <w:r>
        <w:t xml:space="preserve">Implementación de la Arquitectura Empresarial como estrategia para impulsar la transformación digital y la eficiencia en la gestión pública de la SG.</w:t>
      </w:r>
    </w:p>
    <w:p>
      <w:pPr>
        <w:numPr>
          <w:ilvl w:val="1"/>
          <w:numId w:val="1017"/>
        </w:numPr>
        <w:pStyle w:val="Compact"/>
      </w:pPr>
      <w:r>
        <w:t xml:space="preserve">Se espera que la Arquitectura Empresarial fortalezca la transparencia y rendición de cuentas al estandarizar procesos y sistemas de información, aumentando la confianza de la ciudadanía en la Gestión Pública [25].</w:t>
      </w:r>
    </w:p>
    <w:p>
      <w:pPr>
        <w:numPr>
          <w:ilvl w:val="1"/>
          <w:numId w:val="1017"/>
        </w:numPr>
        <w:pStyle w:val="Compact"/>
      </w:pPr>
      <w:r>
        <w:t xml:space="preserve">Es requerido que este ejercicio beneficie a la SG con la entrega de activos como hojas de ruta, catálogos y caracterización de los sistemas de información, matrices de interacción, entre otros.</w:t>
      </w:r>
    </w:p>
    <w:bookmarkEnd w:id="35"/>
    <w:bookmarkEnd w:id="3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2025-07-24T14:24:37Z</dcterms:created>
  <dcterms:modified xsi:type="dcterms:W3CDTF">2025-07-24T14:24:37Z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