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1.5387c6c - Compilación para entrega: accion-actualizacionContd (83513bd) - Fri, 25 Jul 2025 00:54:39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1.0e5ecab - Compilación para entrega: accion-actualizacionContd (b6c7d24) - Thu, 24 Jul 2025 20:37:01 +0000</w:t>
      </w:r>
    </w:p>
    <w:p>
      <w:pPr>
        <w:pStyle w:val="BodyText"/>
      </w:pPr>
      <w:r>
        <w:t xml:space="preserve">1.72502f0 - Compilación para entrega: accion-actualizacionContd (67aebf0) - Thu, 24 Jul 2025 20:26:30 +0000</w:t>
      </w:r>
    </w:p>
    <w:p>
      <w:pPr>
        <w:pStyle w:val="BodyText"/>
      </w:pPr>
      <w:r>
        <w:t xml:space="preserve">1.d048824 - Compilación para entrega: accion-actualizacionContd (1ced18f) - Thu, 24 Jul 2025 20:09:14 +0000</w:t>
      </w:r>
    </w:p>
    <w:p>
      <w:pPr>
        <w:pStyle w:val="BodyText"/>
      </w:pPr>
      <w:r>
        <w:t xml:space="preserve">1.f8b6352 - Compilación para entrega: accion-actualizacionContd (a54591b) - Thu, 24 Jul 2025 19:54:10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1"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0"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End w:id="33"/>
    <w:bookmarkStart w:id="34"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4"/>
    <w:bookmarkStart w:id="36"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5" w:name="sec:contenido-mínimo-del-catálogo"/>
    <w:p>
      <w:pPr>
        <w:pStyle w:val="Heading4"/>
      </w:pPr>
      <w:r>
        <w:t xml:space="preserve">Contenido Mínimo del Catálogo</w:t>
      </w:r>
    </w:p>
    <w:p>
      <w:pPr>
        <w:numPr>
          <w:ilvl w:val="0"/>
          <w:numId w:val="1003"/>
        </w:numPr>
        <w:pStyle w:val="Compact"/>
      </w:pPr>
      <w:r>
        <w:t xml:space="preserve">ID de Aplicación. Código de identificación de la aplicación de software.</w:t>
      </w:r>
    </w:p>
    <w:p>
      <w:pPr>
        <w:numPr>
          <w:ilvl w:val="0"/>
          <w:numId w:val="1003"/>
        </w:numPr>
        <w:pStyle w:val="Compact"/>
      </w:pPr>
      <w:r>
        <w:t xml:space="preserve">Nombre de la Aplicación. Nombre de identificación de la aplicación de software.</w:t>
      </w:r>
    </w:p>
    <w:p>
      <w:pPr>
        <w:numPr>
          <w:ilvl w:val="0"/>
          <w:numId w:val="1003"/>
        </w:numPr>
        <w:pStyle w:val="Compact"/>
      </w:pPr>
      <w:r>
        <w:t xml:space="preserve">Descripción. Funcionamiento básico de la aplicación de software.</w:t>
      </w:r>
    </w:p>
    <w:p>
      <w:pPr>
        <w:numPr>
          <w:ilvl w:val="0"/>
          <w:numId w:val="1003"/>
        </w:numPr>
        <w:pStyle w:val="Compact"/>
      </w:pPr>
      <w:r>
        <w:t xml:space="preserve">Estado: [En producción, en desmantelamiento, en implementación, Inactiva]</w:t>
      </w:r>
    </w:p>
    <w:p>
      <w:pPr>
        <w:numPr>
          <w:ilvl w:val="0"/>
          <w:numId w:val="1003"/>
        </w:numPr>
        <w:pStyle w:val="Compact"/>
      </w:pPr>
      <w:r>
        <w:t xml:space="preserve">Categoría: [Sistema de apoyo al negocio (misional), herramienta de gestión, Ofimática, Seguridad]</w:t>
      </w:r>
    </w:p>
    <w:p>
      <w:pPr>
        <w:numPr>
          <w:ilvl w:val="0"/>
          <w:numId w:val="1003"/>
        </w:numPr>
        <w:pStyle w:val="Compact"/>
      </w:pPr>
      <w:r>
        <w:t xml:space="preserve">Proceso(s) de Negocio Clave(s)</w:t>
      </w:r>
    </w:p>
    <w:p>
      <w:pPr>
        <w:numPr>
          <w:ilvl w:val="0"/>
          <w:numId w:val="1003"/>
        </w:numPr>
        <w:pStyle w:val="Compact"/>
      </w:pPr>
      <w:r>
        <w:t xml:space="preserve">Capacidad: Capacidades de nivel 2 relacionadas con la aplicación de software.</w:t>
      </w:r>
    </w:p>
    <w:p>
      <w:pPr>
        <w:numPr>
          <w:ilvl w:val="0"/>
          <w:numId w:val="1003"/>
        </w:numPr>
        <w:pStyle w:val="Compact"/>
      </w:pPr>
      <w:r>
        <w:t xml:space="preserve">Tipo de aplicación: Web, Móvil, Cliente Servidor</w:t>
      </w:r>
    </w:p>
    <w:p>
      <w:pPr>
        <w:numPr>
          <w:ilvl w:val="0"/>
          <w:numId w:val="1003"/>
        </w:numPr>
        <w:pStyle w:val="Compact"/>
      </w:pPr>
      <w:r>
        <w:t xml:space="preserve">Método de despliegue: on-premises, cloud SAAS, cloud PAAS, cloud IAAS</w:t>
      </w:r>
    </w:p>
    <w:p>
      <w:pPr>
        <w:numPr>
          <w:ilvl w:val="0"/>
          <w:numId w:val="1003"/>
        </w:numPr>
        <w:pStyle w:val="Compact"/>
      </w:pPr>
      <w:r>
        <w:t xml:space="preserve">Tecnología. Aspectos técnicos de la aplicación de software.</w:t>
      </w:r>
    </w:p>
    <w:p>
      <w:pPr>
        <w:numPr>
          <w:ilvl w:val="0"/>
          <w:numId w:val="1003"/>
        </w:numPr>
        <w:pStyle w:val="Compact"/>
      </w:pPr>
      <w:r>
        <w:t xml:space="preserve">Versión actual de la tecnología</w:t>
      </w:r>
    </w:p>
    <w:p>
      <w:pPr>
        <w:numPr>
          <w:ilvl w:val="0"/>
          <w:numId w:val="1003"/>
        </w:numPr>
        <w:pStyle w:val="Compact"/>
      </w:pPr>
      <w:r>
        <w:t xml:space="preserve">Responsable técnico en la entidad</w:t>
      </w:r>
    </w:p>
    <w:p>
      <w:pPr>
        <w:numPr>
          <w:ilvl w:val="0"/>
          <w:numId w:val="1003"/>
        </w:numPr>
        <w:pStyle w:val="Compact"/>
      </w:pPr>
      <w:r>
        <w:t xml:space="preserve">Responsable funcional en la entidad</w:t>
      </w:r>
    </w:p>
    <w:p>
      <w:pPr>
        <w:numPr>
          <w:ilvl w:val="0"/>
          <w:numId w:val="1003"/>
        </w:numPr>
        <w:pStyle w:val="Compact"/>
      </w:pPr>
      <w:r>
        <w:t xml:space="preserve">Fabricante</w:t>
      </w:r>
    </w:p>
    <w:p>
      <w:pPr>
        <w:numPr>
          <w:ilvl w:val="0"/>
          <w:numId w:val="1003"/>
        </w:numPr>
        <w:pStyle w:val="Compact"/>
      </w:pPr>
      <w:r>
        <w:t xml:space="preserve">Proveedor de soporte externo</w:t>
      </w:r>
    </w:p>
    <w:p>
      <w:pPr>
        <w:numPr>
          <w:ilvl w:val="0"/>
          <w:numId w:val="1003"/>
        </w:numPr>
        <w:pStyle w:val="Compact"/>
      </w:pPr>
      <w:r>
        <w:t xml:space="preserve">Fecha de vigencia de soporte externo</w:t>
      </w:r>
    </w:p>
    <w:p>
      <w:pPr>
        <w:numPr>
          <w:ilvl w:val="0"/>
          <w:numId w:val="1003"/>
        </w:numPr>
        <w:pStyle w:val="Compact"/>
      </w:pPr>
      <w:r>
        <w:t xml:space="preserve">Nombre de servidor. Nombre de red del entorno o nodo contenedor de la aplicación de software.</w:t>
      </w:r>
    </w:p>
    <w:p>
      <w:pPr>
        <w:numPr>
          <w:ilvl w:val="0"/>
          <w:numId w:val="1003"/>
        </w:numPr>
        <w:pStyle w:val="Compact"/>
      </w:pPr>
      <w:r>
        <w:t xml:space="preserve">Criticidad de negocio</w:t>
      </w:r>
    </w:p>
    <w:p>
      <w:pPr>
        <w:pStyle w:val="FirstParagraph"/>
      </w:pPr>
      <w:r>
        <w:t xml:space="preserve">El Catálogo de aplicaciones de SG procura beneficios estratégicos y operativos:</w:t>
      </w:r>
    </w:p>
    <w:p>
      <w:pPr>
        <w:numPr>
          <w:ilvl w:val="0"/>
          <w:numId w:val="1004"/>
        </w:numPr>
        <w:pStyle w:val="Compact"/>
      </w:pPr>
      <w:r>
        <w:t xml:space="preserve">Unifica la documentación y la comunicación: Es un artefacto clave para documentar, comprender y comunicar el panorama actual y futuro de las aplicaciones.</w:t>
      </w:r>
    </w:p>
    <w:p>
      <w:pPr>
        <w:numPr>
          <w:ilvl w:val="0"/>
          <w:numId w:val="1004"/>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04"/>
        </w:numPr>
        <w:pStyle w:val="Compact"/>
      </w:pPr>
      <w:r>
        <w:t xml:space="preserve">Facilita la actualización continua: Permite la actualización continua de las características y atributos relevantes de los sistemas de información.</w:t>
      </w:r>
    </w:p>
    <w:bookmarkEnd w:id="35"/>
    <w:bookmarkEnd w:id="36"/>
    <w:bookmarkStart w:id="37" w:name="sec:identificar-necesidades-ti-en-sg"/>
    <w:p>
      <w:pPr>
        <w:pStyle w:val="Heading3"/>
      </w:pPr>
      <w:r>
        <w:t xml:space="preserve">Identificar Necesidades TI en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5"/>
        </w:numPr>
      </w:pPr>
      <w:r>
        <w:t xml:space="preserve">Impulsar la transformación digital para alinear estrategias, procesos y tecnologías</w:t>
      </w:r>
    </w:p>
    <w:p>
      <w:pPr>
        <w:numPr>
          <w:ilvl w:val="0"/>
          <w:numId w:val="1005"/>
        </w:numPr>
      </w:pPr>
      <w:r>
        <w:t xml:space="preserve">(Necesidad) la Modernización y Eficiencia Pública (Driver)</w:t>
      </w:r>
    </w:p>
    <w:p>
      <w:pPr>
        <w:numPr>
          <w:ilvl w:val="0"/>
          <w:numId w:val="1005"/>
        </w:numPr>
      </w:pPr>
      <w:r>
        <w:t xml:space="preserve">Cerrar las brechas en la Política de Gobierno Digital, de la cual la Arquitectura Empresarial es un habilitador clave.</w:t>
      </w:r>
    </w:p>
    <w:p>
      <w:pPr>
        <w:numPr>
          <w:ilvl w:val="0"/>
          <w:numId w:val="1005"/>
        </w:numPr>
      </w:pPr>
      <w:r>
        <w:t xml:space="preserve">Modernizar la infraestructura tecnológica obsoleta para asegurar su continuidad y disponibilidad.</w:t>
      </w:r>
    </w:p>
    <w:p>
      <w:pPr>
        <w:numPr>
          <w:ilvl w:val="0"/>
          <w:numId w:val="1005"/>
        </w:numPr>
      </w:pPr>
      <w:r>
        <w:t xml:space="preserve">Integrar plataformas y ecosistemas digitales y superar la falta de interoperabilidad.</w:t>
      </w:r>
    </w:p>
    <w:p>
      <w:pPr>
        <w:numPr>
          <w:ilvl w:val="0"/>
          <w:numId w:val="1005"/>
        </w:numPr>
      </w:pPr>
      <w:r>
        <w:t xml:space="preserve">Automatizar trámites y estandarizar la gestión y gobernanza de datos públicos.</w:t>
      </w:r>
    </w:p>
    <w:p>
      <w:pPr>
        <w:numPr>
          <w:ilvl w:val="0"/>
          <w:numId w:val="1005"/>
        </w:numPr>
      </w:pPr>
      <w:r>
        <w:t xml:space="preserve">Adquirir software especializado en análisis de datos para mejorar la toma de decisiones basada en evidencia.</w:t>
      </w:r>
    </w:p>
    <w:p>
      <w:pPr>
        <w:numPr>
          <w:ilvl w:val="0"/>
          <w:numId w:val="1005"/>
        </w:numPr>
      </w:pPr>
      <w:r>
        <w:t xml:space="preserve">Generar análisis predictivos y prospectivos de resultados de gestión, que son insumos para la toma de decisiones.</w:t>
      </w:r>
    </w:p>
    <w:p>
      <w:pPr>
        <w:numPr>
          <w:ilvl w:val="0"/>
          <w:numId w:val="1005"/>
        </w:numPr>
      </w:pPr>
      <w:r>
        <w:t xml:space="preserve">Contar con disponibilidad de personal adecuado para actualizar plataformas tecnológicas y la gstión de las cargas de trabajo es una necesidad identificada para este eje.</w:t>
      </w:r>
    </w:p>
    <w:p>
      <w:pPr>
        <w:numPr>
          <w:ilvl w:val="0"/>
          <w:numId w:val="1005"/>
        </w:numPr>
      </w:pPr>
      <w:r>
        <w:t xml:space="preserve">Aprovechar nuevas tecnologías como la Inteligencia Artificial, la minería de datos, el procesamiento del lenguaje, para mejorar los procesos y la relación con la ciudadanía.</w:t>
      </w:r>
    </w:p>
    <w:p>
      <w:pPr>
        <w:numPr>
          <w:ilvl w:val="0"/>
          <w:numId w:val="1005"/>
        </w:numPr>
      </w:pPr>
      <w:r>
        <w:t xml:space="preserve">Abordar los altos costos de la tecnología que limitan la implementación de sistemas avanzados. (??)</w:t>
      </w:r>
    </w:p>
    <w:p>
      <w:pPr>
        <w:numPr>
          <w:ilvl w:val="0"/>
          <w:numId w:val="1005"/>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6"/>
        </w:numPr>
        <w:pStyle w:val="Compact"/>
      </w:pPr>
      <w:r>
        <w:t xml:space="preserve">Adquirir software especializado en análisis de datos: implica la necesidad de incorporar de nuevos componentes de aplicación (Application Component).</w:t>
      </w:r>
    </w:p>
    <w:p>
      <w:pPr>
        <w:numPr>
          <w:ilvl w:val="0"/>
          <w:numId w:val="1006"/>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6"/>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7"/>
    <w:bookmarkStart w:id="38" w:name="sec:identificar-preocupaciones"/>
    <w:p>
      <w:pPr>
        <w:pStyle w:val="Heading3"/>
      </w:pPr>
      <w:r>
        <w:t xml:space="preserve">Identificar Preocupaciones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07"/>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07"/>
        </w:numPr>
        <w:pStyle w:val="Compact"/>
      </w:pPr>
      <w:r>
        <w:t xml:space="preserve">Equipos tecnológicos obsoletos que generan dificultad en la ejecución de las actividades que desarrolla la entidad [3].</w:t>
      </w:r>
    </w:p>
    <w:p>
      <w:pPr>
        <w:numPr>
          <w:ilvl w:val="0"/>
          <w:numId w:val="1007"/>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07"/>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07"/>
        </w:numPr>
        <w:pStyle w:val="Compact"/>
      </w:pPr>
      <w:r>
        <w:t xml:space="preserve">Falta de un software que le permita a la entidad extraer una información dinámica que sirva como insumo para la toma de decisiones [6].</w:t>
      </w:r>
    </w:p>
    <w:p>
      <w:pPr>
        <w:numPr>
          <w:ilvl w:val="0"/>
          <w:numId w:val="1007"/>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07"/>
        </w:numPr>
        <w:pStyle w:val="Compact"/>
      </w:pPr>
      <w:r>
        <w:t xml:space="preserve">Falta de personal para actualizar las plataformas tecnológicas, lo que genera retrasos en la operación de la entidad [8].</w:t>
      </w:r>
    </w:p>
    <w:p>
      <w:pPr>
        <w:numPr>
          <w:ilvl w:val="0"/>
          <w:numId w:val="1007"/>
        </w:numPr>
        <w:pStyle w:val="Compact"/>
      </w:pPr>
      <w:r>
        <w:t xml:space="preserve">Deficiente conectividad y falta de interoperabilidad de las plataformas tecnológicas [8].</w:t>
      </w:r>
    </w:p>
    <w:p>
      <w:pPr>
        <w:numPr>
          <w:ilvl w:val="0"/>
          <w:numId w:val="1007"/>
        </w:numPr>
        <w:pStyle w:val="Compact"/>
      </w:pPr>
      <w:r>
        <w:t xml:space="preserve">Cambios en las plataformas tecnológicas que no interactúan con las anteriores, generando posibles pérdidas de información y reprocesos [9].</w:t>
      </w:r>
    </w:p>
    <w:p>
      <w:pPr>
        <w:numPr>
          <w:ilvl w:val="0"/>
          <w:numId w:val="1007"/>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07"/>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07"/>
        </w:numPr>
        <w:pStyle w:val="Compact"/>
      </w:pPr>
      <w:r>
        <w:t xml:space="preserve">Obsolescencia tecnológica que implica la necesidad de renovación de los equipos y dificulta la prestación de los servicios de la entidad [11].</w:t>
      </w:r>
    </w:p>
    <w:p>
      <w:pPr>
        <w:numPr>
          <w:ilvl w:val="0"/>
          <w:numId w:val="1007"/>
        </w:numPr>
        <w:pStyle w:val="Compact"/>
      </w:pPr>
      <w:r>
        <w:t xml:space="preserve">Los altos costos de la tecnología pueden limitar la capacidad de la entidad para implementar y mantener sistemas avanzados y eficientes [11].</w:t>
      </w:r>
    </w:p>
    <w:p>
      <w:pPr>
        <w:numPr>
          <w:ilvl w:val="0"/>
          <w:numId w:val="1007"/>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07"/>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38"/>
    <w:bookmarkStart w:id="39" w:name="sec:identificar-oportunidades"/>
    <w:p>
      <w:pPr>
        <w:pStyle w:val="Heading3"/>
      </w:pPr>
      <w:r>
        <w:t xml:space="preserve">Identificar Oportunidades</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08"/>
        </w:numPr>
      </w:pPr>
      <w:r>
        <w:t xml:space="preserve">Modernización de la infraestructura y sistemas tecnológicos,</w:t>
      </w:r>
    </w:p>
    <w:p>
      <w:pPr>
        <w:numPr>
          <w:ilvl w:val="1"/>
          <w:numId w:val="1009"/>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09"/>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Integración y automatización de procesos,</w:t>
      </w:r>
    </w:p>
    <w:p>
      <w:pPr>
        <w:numPr>
          <w:ilvl w:val="1"/>
          <w:numId w:val="1010"/>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0"/>
        </w:numPr>
        <w:pStyle w:val="Compact"/>
      </w:pPr>
      <w:r>
        <w:t xml:space="preserve">Se buscan mejores controles e integración del sistema de régimen legal de la Secretaría Jurídica [27].</w:t>
      </w:r>
    </w:p>
    <w:p>
      <w:pPr>
        <w:numPr>
          <w:ilvl w:val="1"/>
          <w:numId w:val="1010"/>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08"/>
        </w:numPr>
      </w:pPr>
      <w:r>
        <w:t xml:space="preserve">Fortalecimiento de la seguridad digital,</w:t>
      </w:r>
    </w:p>
    <w:p>
      <w:pPr>
        <w:numPr>
          <w:ilvl w:val="1"/>
          <w:numId w:val="1011"/>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Mejora de la comunicación pública a través de medios digitales,</w:t>
      </w:r>
    </w:p>
    <w:p>
      <w:pPr>
        <w:numPr>
          <w:ilvl w:val="1"/>
          <w:numId w:val="1012"/>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2"/>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2"/>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08"/>
        </w:numPr>
      </w:pPr>
      <w:r>
        <w:t xml:space="preserve">Capacitación en nuevas tecnologías (…).</w:t>
      </w:r>
    </w:p>
    <w:p>
      <w:pPr>
        <w:numPr>
          <w:ilvl w:val="0"/>
          <w:numId w:val="1008"/>
        </w:numPr>
      </w:pPr>
      <w:r>
        <w:t xml:space="preserve">Implementación de la Arquitectura Empresarial como estrategia para impulsar la transformación digital y la eficiencia en la gestión pública de la SG.</w:t>
      </w:r>
    </w:p>
    <w:p>
      <w:pPr>
        <w:numPr>
          <w:ilvl w:val="1"/>
          <w:numId w:val="1013"/>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3"/>
        </w:numPr>
        <w:pStyle w:val="Compact"/>
      </w:pPr>
      <w:r>
        <w:t xml:space="preserve">Es requerido que este ejercicio beneficie a la SG con la entrega de activos como hojas de ruta, catálogos y caracterización de los sistemas de información, matrices de interacción, entre otros.</w:t>
      </w:r>
    </w:p>
    <w:bookmarkEnd w:id="39"/>
    <w:bookmarkEnd w:id="40"/>
    <w:bookmarkEnd w:id="41"/>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2025-07-25T01:01:53Z</dcterms:created>
  <dcterms:modified xsi:type="dcterms:W3CDTF">2025-07-25T01:01:53Z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