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80.png" ContentType="image/png"/>
  <Override PartName="/word/media/rId47.png" ContentType="image/png"/>
  <Override PartName="/word/media/rId7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1.87eaa47</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22:45:57</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1.87eaa47 - Compilación para entrega - Mon, 9 Dec 2024 22:45:57 +0000</w:t>
      </w:r>
    </w:p>
    <w:p>
      <w:pPr>
        <w:pStyle w:val="BodyText"/>
      </w:pPr>
      <w:r>
        <w:t xml:space="preserve">Versiones Anteriores</w:t>
      </w:r>
    </w:p>
    <w:p>
      <w:pPr>
        <w:pStyle w:val="BodyText"/>
      </w:pPr>
      <w:r>
        <w:t xml:space="preserve">1.1f21697 - Compilación para entrega - Mon, 9 Dec 2024 22:35:52 +0000</w:t>
      </w:r>
    </w:p>
    <w:p>
      <w:pPr>
        <w:pStyle w:val="BodyText"/>
      </w:pPr>
      <w:r>
        <w:t xml:space="preserve">1.77c2334 - crrcn.config.15 - Mon, 9 Dec 2024 17:35:02 -0500</w:t>
      </w:r>
    </w:p>
    <w:p>
      <w:pPr>
        <w:pStyle w:val="BodyText"/>
      </w:pPr>
      <w:r>
        <w:t xml:space="preserve">1.cbb6f11 - crrcn.config.14 - Mon, 9 Dec 2024 17:32:05 -0500</w:t>
      </w:r>
    </w:p>
    <w:p>
      <w:pPr>
        <w:pStyle w:val="BodyText"/>
      </w:pPr>
      <w:r>
        <w:t xml:space="preserve">1.12ae928 - crrcn.config.13 - Mon, 9 Dec 2024 17:28:17 -0500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72" w:name="X9eaf8f9e5aaaec9efd1b932dd65c6a451e58315"/>
    <w:p>
      <w:pPr>
        <w:pStyle w:val="Heading1"/>
      </w:pPr>
      <w:r>
        <w:t xml:space="preserve">Modelo de Requerimientos de Interoperabilidad Proyecto JEP</w:t>
      </w:r>
    </w:p>
    <w:bookmarkStart w:id="46" w:name="Xe48c0eb7261624083888e86bdad65e27685b40e"/>
    <w:p>
      <w:pPr>
        <w:pStyle w:val="Heading2"/>
      </w:pPr>
      <w:r>
        <w:t xml:space="preserve">Requerimiento Integración Webservices Plani (REQR15)</w:t>
      </w:r>
    </w:p>
    <w:p>
      <w:pPr>
        <w:pStyle w:val="BlockText"/>
      </w:pPr>
      <w:r>
        <w:t xml:space="preserve">Modelo de Requerimientos Proyecto Integración JEP, 2024. Softgic. Requerimientos, condiciones técnicas, solución del proyecto Integración JEP, 2024. Versión 0.1.49</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529188"/>
            <wp:effectExtent b="0" l="0" r="0" t="0"/>
            <wp:docPr descr="05.REQR.1n.1f. Requerimiento REQR15. Fuente: Repositorio arquitectura Integración JEP (2024)" title="" id="38" name="Picture"/>
            <a:graphic>
              <a:graphicData uri="http://schemas.openxmlformats.org/drawingml/2006/picture">
                <pic:pic>
                  <pic:nvPicPr>
                    <pic:cNvPr descr="images/05.REQR.1n.1f.RequerimientoREQR15.png" id="39" name="Picture"/>
                    <pic:cNvPicPr>
                      <a:picLocks noChangeArrowheads="1" noChangeAspect="1"/>
                    </pic:cNvPicPr>
                  </pic:nvPicPr>
                  <pic:blipFill>
                    <a:blip r:embed="rId37"/>
                    <a:stretch>
                      <a:fillRect/>
                    </a:stretch>
                  </pic:blipFill>
                  <pic:spPr bwMode="auto">
                    <a:xfrm>
                      <a:off x="0" y="0"/>
                      <a:ext cx="5207000" cy="3529188"/>
                    </a:xfrm>
                    <a:prstGeom prst="rect">
                      <a:avLst/>
                    </a:prstGeom>
                    <a:noFill/>
                    <a:ln w="9525">
                      <a:noFill/>
                      <a:headEnd/>
                      <a:tailEnd/>
                    </a:ln>
                  </pic:spPr>
                </pic:pic>
              </a:graphicData>
            </a:graphic>
          </wp:inline>
        </w:drawing>
      </w:r>
    </w:p>
    <w:p>
      <w:pPr>
        <w:pStyle w:val="ImageCaption"/>
      </w:pPr>
      <w:r>
        <w:t xml:space="preserve">Figura 3: 05.REQR.1n.1f. Requerimiento REQR15.</w:t>
      </w:r>
      <w:r>
        <w:t xml:space="preserve"> </w:t>
      </w:r>
      <w:r>
        <w:rPr>
          <w:iCs/>
          <w:i/>
        </w:rPr>
        <w:t xml:space="preserve">Fuente: Repositorio arquitectura Integración JEP (2024)</w:t>
      </w:r>
    </w:p>
    <w:bookmarkStart w:id="40" w:name="X45eae95dc091de69da37fe370b0269360028212"/>
    <w:p>
      <w:pPr>
        <w:pStyle w:val="Heading3"/>
      </w:pPr>
      <w:r>
        <w:t xml:space="preserve">REQR15. Integración Webservices Plani</w:t>
      </w:r>
    </w:p>
    <w:p>
      <w:pPr>
        <w:pStyle w:val="FirstParagraph"/>
      </w:pPr>
      <w:r>
        <w:t xml:space="preserve">Atendiendo la necesidad de Justicia Digital, se requiere implementar la integración de Webservices Plani como la exposición de las capacidades del módulo Plani.</w:t>
      </w:r>
    </w:p>
    <w:p>
      <w:pPr>
        <w:pStyle w:val="BodyText"/>
      </w:pPr>
      <w:r>
        <w:t xml:space="preserve">Fuente: webservicesPlani (pdf).</w:t>
      </w:r>
    </w:p>
    <w:bookmarkEnd w:id="40"/>
    <w:bookmarkStart w:id="41" w:name="X8ae3bc333c0d418fc477fe355d0aabfb3b51768"/>
    <w:p>
      <w:pPr>
        <w:pStyle w:val="Heading3"/>
      </w:pPr>
      <w:r>
        <w:t xml:space="preserve">Índice de la documentación (casos de uso)</w:t>
      </w:r>
    </w:p>
    <w:p>
      <w:pPr>
        <w:numPr>
          <w:ilvl w:val="0"/>
          <w:numId w:val="1017"/>
        </w:numPr>
        <w:pStyle w:val="Compact"/>
      </w:pPr>
      <w:r>
        <w:t xml:space="preserve">Integrar Obtener Numero Proceso</w:t>
      </w:r>
    </w:p>
    <w:p>
      <w:pPr>
        <w:numPr>
          <w:ilvl w:val="0"/>
          <w:numId w:val="1017"/>
        </w:numPr>
        <w:pStyle w:val="Compact"/>
      </w:pPr>
      <w:r>
        <w:t xml:space="preserve">Integrar Obtener Numero Contrato</w:t>
      </w:r>
    </w:p>
    <w:p>
      <w:pPr>
        <w:numPr>
          <w:ilvl w:val="0"/>
          <w:numId w:val="1017"/>
        </w:numPr>
        <w:pStyle w:val="Compact"/>
      </w:pPr>
      <w:r>
        <w:t xml:space="preserve">Integrar Obtener Datos del Contrato</w:t>
      </w:r>
    </w:p>
    <w:p>
      <w:pPr>
        <w:pStyle w:val="FirstParagraph"/>
      </w:pPr>
      <w:r>
        <w:t xml:space="preserve">Los casos de uso se detallan en anexo más adelante.</w:t>
      </w:r>
    </w:p>
    <w:bookmarkEnd w:id="41"/>
    <w:bookmarkStart w:id="42" w:name="sec:solución-7"/>
    <w:p>
      <w:pPr>
        <w:pStyle w:val="Heading3"/>
      </w:pPr>
      <w:r>
        <w:t xml:space="preserve">Solución 7</w:t>
      </w:r>
    </w:p>
    <w:bookmarkEnd w:id="42"/>
    <w:bookmarkStart w:id="43" w:name="X6eb972acd2841c1cdbf7724c5bccc6633272750"/>
    <w:p>
      <w:pPr>
        <w:pStyle w:val="Heading3"/>
      </w:pPr>
      <w:r>
        <w:t xml:space="preserve">SINT70. Integrar Obtener Numero Proceso</w:t>
      </w:r>
    </w:p>
    <w:p>
      <w:pPr>
        <w:pStyle w:val="FirstParagraph"/>
      </w:pPr>
      <w:r>
        <w:t xml:space="preserve">Url: /mercurio/apiRest/PlaniServices/getNumeroProceso</w:t>
      </w:r>
    </w:p>
    <w:p>
      <w:pPr>
        <w:pStyle w:val="BodyText"/>
      </w:pPr>
      <w:r>
        <w:t xml:space="preserve">Tareas de desarrollo</w:t>
      </w:r>
    </w:p>
    <w:p>
      <w:pPr>
        <w:numPr>
          <w:ilvl w:val="0"/>
          <w:numId w:val="1018"/>
        </w:numPr>
        <w:pStyle w:val="Compact"/>
      </w:pPr>
      <w:r>
        <w:t xml:space="preserve">Interoperabilidad IOP1. Transporte / Entrega Consulta Negocio</w:t>
      </w:r>
      <w:r>
        <w:br/>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3"/>
    <w:bookmarkStart w:id="44" w:name="X614b4e1670b5031ffe70a5994325d4a930fdb42"/>
    <w:p>
      <w:pPr>
        <w:pStyle w:val="Heading3"/>
      </w:pPr>
      <w:r>
        <w:t xml:space="preserve">SINT71. Integrar Obtener Numero Contrato</w:t>
      </w:r>
    </w:p>
    <w:p>
      <w:pPr>
        <w:pStyle w:val="FirstParagraph"/>
      </w:pPr>
      <w:r>
        <w:t xml:space="preserve">Url: /mercurio/apiRest/PlaniServices/ getNumeroContrato</w:t>
      </w:r>
    </w:p>
    <w:p>
      <w:pPr>
        <w:pStyle w:val="BodyText"/>
      </w:pPr>
      <w:r>
        <w:t xml:space="preserve">Tareas de desarrollo</w:t>
      </w:r>
    </w:p>
    <w:p>
      <w:pPr>
        <w:numPr>
          <w:ilvl w:val="0"/>
          <w:numId w:val="1019"/>
        </w:numPr>
        <w:pStyle w:val="Compact"/>
      </w:pPr>
      <w:r>
        <w:t xml:space="preserve">Interoperabilidad IOP1. Transporte / Entrega Consulta Negocio</w:t>
      </w:r>
      <w:r>
        <w:br/>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4"/>
    <w:bookmarkStart w:id="45" w:name="X8a83957922795933fdd8af13db42cbf02c0e58e"/>
    <w:p>
      <w:pPr>
        <w:pStyle w:val="Heading3"/>
      </w:pPr>
      <w:r>
        <w:t xml:space="preserve">SINT72. Integrar Obtener Datos del Contrato</w:t>
      </w:r>
    </w:p>
    <w:p>
      <w:pPr>
        <w:pStyle w:val="FirstParagraph"/>
      </w:pPr>
      <w:r>
        <w:t xml:space="preserve">Url: /mercurio/apiRest/PlaniServices/ getDatosContrato</w:t>
      </w:r>
    </w:p>
    <w:p>
      <w:pPr>
        <w:pStyle w:val="BodyText"/>
      </w:pPr>
      <w:r>
        <w:t xml:space="preserve">Tareas de desarrollo</w:t>
      </w:r>
    </w:p>
    <w:p>
      <w:pPr>
        <w:numPr>
          <w:ilvl w:val="0"/>
          <w:numId w:val="1020"/>
        </w:numPr>
        <w:pStyle w:val="Compact"/>
      </w:pPr>
      <w:r>
        <w:t xml:space="preserve">Interoperabilidad IOP1. Transporte / Entrega Consulta Negocio</w:t>
      </w:r>
      <w:r>
        <w:br/>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5"/>
    <w:bookmarkEnd w:id="46"/>
    <w:bookmarkStart w:id="71" w:name="Xe423928670bd0002b6374397629c800081ced6f"/>
    <w:p>
      <w:pPr>
        <w:pStyle w:val="Heading2"/>
      </w:pPr>
      <w:r>
        <w:t xml:space="preserve">Especificación CU Requerimiento REQR15</w:t>
      </w:r>
    </w:p>
    <w:p>
      <w:pPr>
        <w:pStyle w:val="BlockText"/>
      </w:pPr>
      <w:r>
        <w:t xml:space="preserve">Casos de Uso Proyecto Integración JEP, 2024. Softgic. Especificaciones de integraciones (CU), condiciones de interoperabilidad, pruebas técnicas, entregables. Versión 0.2.4</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04433" cy="4762500"/>
            <wp:effectExtent b="0" l="0" r="0" t="0"/>
            <wp:docPr descr="05.REQR.2n.6n. Casos de Uso REQR15. Fuente: Repositorio arquitectura Integración JEP (2024)" title="" id="48" name="Picture"/>
            <a:graphic>
              <a:graphicData uri="http://schemas.openxmlformats.org/drawingml/2006/picture">
                <pic:pic>
                  <pic:nvPicPr>
                    <pic:cNvPr descr="images/05.REQR.2n.6n.CasosdeUsoREQR15.png" id="49" name="Picture"/>
                    <pic:cNvPicPr>
                      <a:picLocks noChangeArrowheads="1" noChangeAspect="1"/>
                    </pic:cNvPicPr>
                  </pic:nvPicPr>
                  <pic:blipFill>
                    <a:blip r:embed="rId47"/>
                    <a:stretch>
                      <a:fillRect/>
                    </a:stretch>
                  </pic:blipFill>
                  <pic:spPr bwMode="auto">
                    <a:xfrm>
                      <a:off x="0" y="0"/>
                      <a:ext cx="4504433" cy="4762500"/>
                    </a:xfrm>
                    <a:prstGeom prst="rect">
                      <a:avLst/>
                    </a:prstGeom>
                    <a:noFill/>
                    <a:ln w="9525">
                      <a:noFill/>
                      <a:headEnd/>
                      <a:tailEnd/>
                    </a:ln>
                  </pic:spPr>
                </pic:pic>
              </a:graphicData>
            </a:graphic>
          </wp:inline>
        </w:drawing>
      </w:r>
    </w:p>
    <w:p>
      <w:pPr>
        <w:pStyle w:val="ImageCaption"/>
      </w:pPr>
      <w:r>
        <w:t xml:space="preserve">Figura 4: 05.REQR.2n.6n. Casos de Uso REQR15.</w:t>
      </w:r>
      <w:r>
        <w:t xml:space="preserve"> </w:t>
      </w:r>
      <w:r>
        <w:rPr>
          <w:iCs/>
          <w:i/>
        </w:rPr>
        <w:t xml:space="preserve">Fuente: Repositorio arquitectura Integración JEP (2024)</w:t>
      </w:r>
    </w:p>
    <w:bookmarkStart w:id="50" w:name="X65c5c2d5768ae09125d8b45e8e4033dd55383aa"/>
    <w:p>
      <w:pPr>
        <w:pStyle w:val="Heading3"/>
      </w:pPr>
      <w:r>
        <w:t xml:space="preserve">REQR15. Integración Webservices Plani</w:t>
      </w:r>
    </w:p>
    <w:p>
      <w:pPr>
        <w:pStyle w:val="FirstParagraph"/>
      </w:pPr>
      <w:r>
        <w:t xml:space="preserve">Atendiendo la necesidad de Justicia Digital, se requiere implementar la integración de Webservices Plani como la exposición de las capacidades del módulo Plani.</w:t>
      </w:r>
    </w:p>
    <w:p>
      <w:pPr>
        <w:pStyle w:val="BodyText"/>
      </w:pPr>
      <w:r>
        <w:t xml:space="preserve">Fuente: webservicesPlani (pdf).</w:t>
      </w:r>
    </w:p>
    <w:bookmarkEnd w:id="50"/>
    <w:bookmarkStart w:id="51" w:name="Xe2a2e48a481680c1d6185fe541c11ce4fece4bc"/>
    <w:p>
      <w:pPr>
        <w:pStyle w:val="Heading3"/>
      </w:pPr>
      <w:r>
        <w:t xml:space="preserve">Índice de la documentación (casos de uso)</w:t>
      </w:r>
    </w:p>
    <w:p>
      <w:pPr>
        <w:numPr>
          <w:ilvl w:val="0"/>
          <w:numId w:val="1021"/>
        </w:numPr>
        <w:pStyle w:val="Compact"/>
      </w:pPr>
      <w:r>
        <w:t xml:space="preserve">Integrar Obtener Numero Proceso</w:t>
      </w:r>
    </w:p>
    <w:p>
      <w:pPr>
        <w:numPr>
          <w:ilvl w:val="0"/>
          <w:numId w:val="1021"/>
        </w:numPr>
        <w:pStyle w:val="Compact"/>
      </w:pPr>
      <w:r>
        <w:t xml:space="preserve">Integrar Obtener Numero Contrato</w:t>
      </w:r>
    </w:p>
    <w:p>
      <w:pPr>
        <w:numPr>
          <w:ilvl w:val="0"/>
          <w:numId w:val="1021"/>
        </w:numPr>
        <w:pStyle w:val="Compact"/>
      </w:pPr>
      <w:r>
        <w:t xml:space="preserve">Integrar Obtener Datos del Contrato</w:t>
      </w:r>
    </w:p>
    <w:p>
      <w:pPr>
        <w:pStyle w:val="FirstParagraph"/>
      </w:pPr>
      <w:r>
        <w:t xml:space="preserve">Los casos de uso se detallan en anexo más adelante.</w:t>
      </w:r>
    </w:p>
    <w:bookmarkEnd w:id="51"/>
    <w:bookmarkStart w:id="52" w:name="Xfcc6555d83114658d3560503a0268225b75846b"/>
    <w:p>
      <w:pPr>
        <w:pStyle w:val="Heading3"/>
      </w:pPr>
      <w:r>
        <w:t xml:space="preserve">HU.SINT70. Integración Obtener Numero Proceso</w:t>
      </w:r>
    </w:p>
    <w:bookmarkEnd w:id="52"/>
    <w:bookmarkStart w:id="58" w:name="sec:especificación-de-integración"/>
    <w:p>
      <w:pPr>
        <w:pStyle w:val="Heading3"/>
      </w:pPr>
      <w:r>
        <w:t xml:space="preserve">Especificación de integración</w:t>
      </w:r>
    </w:p>
    <w:p>
      <w:pPr>
        <w:pStyle w:val="FirstParagraph"/>
      </w:pPr>
      <w:r>
        <w:t xml:space="preserve">Integrar el servicio que recupera el número del proceso asociado a un identificador específico (id_Paa), Obtener Numero Proceso de Plani y devolver resultado al módulo de consumidor. El servicio proveedor permite consultar información y devolvuelve el número del proceso correspondiente en formato JSON.</w:t>
      </w:r>
    </w:p>
    <w:p>
      <w:pPr>
        <w:pStyle w:val="BodyText"/>
      </w:pPr>
      <w:r>
        <w:t xml:space="preserve">Nota: La aplicación proveedora expone tres servicios (con sus respectivos piuntos de conexión) diseñados para realizar consultas específicas sobre los datos disponibles. Cada servicio responde con información estructurada en formato JSON, y utiliza métodos HTTP estándar</w:t>
      </w:r>
    </w:p>
    <w:bookmarkStart w:id="53" w:name="sec:elementos"/>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53"/>
    <w:bookmarkStart w:id="54"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4"/>
    <w:bookmarkStart w:id="55" w:name="X61ab8eda0b8a05aa2bcdbdcdf87e954bfcfd5d1"/>
    <w:p>
      <w:pPr>
        <w:pStyle w:val="Heading4"/>
      </w:pPr>
      <w:r>
        <w:t xml:space="preserve">Puntos de Entrada (endpoints) Aplicación Proveedora</w:t>
      </w:r>
    </w:p>
    <w:p>
      <w:pPr>
        <w:numPr>
          <w:ilvl w:val="0"/>
          <w:numId w:val="1026"/>
        </w:numPr>
        <w:pStyle w:val="Compact"/>
      </w:pPr>
      <w:r>
        <w:t xml:space="preserve">URL: /mercurio/apiRest/PlaniServices/getNumeroProceso</w:t>
      </w:r>
    </w:p>
    <w:p>
      <w:pPr>
        <w:numPr>
          <w:ilvl w:val="0"/>
          <w:numId w:val="1026"/>
        </w:numPr>
        <w:pStyle w:val="Compact"/>
      </w:pPr>
      <w:r>
        <w:t xml:space="preserve">Method: POST</w:t>
      </w:r>
    </w:p>
    <w:p>
      <w:pPr>
        <w:numPr>
          <w:ilvl w:val="0"/>
          <w:numId w:val="1026"/>
        </w:numPr>
        <w:pStyle w:val="Compact"/>
      </w:pPr>
      <w:r>
        <w:t xml:space="preserve">Content-Type: application/json</w:t>
      </w:r>
    </w:p>
    <w:bookmarkEnd w:id="55"/>
    <w:bookmarkStart w:id="56"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56"/>
    <w:bookmarkStart w:id="57"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57"/>
    <w:bookmarkEnd w:id="58"/>
    <w:bookmarkStart w:id="59" w:name="Xbbfec10dc415210c6eaae57533ce060133579b2"/>
    <w:p>
      <w:pPr>
        <w:pStyle w:val="Heading3"/>
      </w:pPr>
      <w:r>
        <w:t xml:space="preserve">HU.SINT71. Integración Obtener Numero Contrato</w:t>
      </w:r>
    </w:p>
    <w:bookmarkEnd w:id="59"/>
    <w:bookmarkStart w:id="64" w:name="sec:especificación-de-integración-1"/>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60" w:name="sec:elementos-1"/>
    <w:p>
      <w:pPr>
        <w:pStyle w:val="Heading4"/>
      </w:pPr>
      <w:r>
        <w:t xml:space="preserve">Elementos</w:t>
      </w:r>
    </w:p>
    <w:p>
      <w:pPr>
        <w:pStyle w:val="FirstParagraph"/>
      </w:pPr>
      <w:r>
        <w:t xml:space="preserve">Elegir y describir los elementos de la actual integración.</w:t>
      </w:r>
    </w:p>
    <w:p>
      <w:pPr>
        <w:numPr>
          <w:ilvl w:val="0"/>
          <w:numId w:val="1028"/>
        </w:numPr>
        <w:pStyle w:val="Compact"/>
      </w:pPr>
      <w:r>
        <w:t xml:space="preserve">☒ App consumidora (A)</w:t>
      </w:r>
    </w:p>
    <w:p>
      <w:pPr>
        <w:numPr>
          <w:ilvl w:val="0"/>
          <w:numId w:val="1028"/>
        </w:numPr>
        <w:pStyle w:val="Compact"/>
      </w:pPr>
      <w:r>
        <w:t xml:space="preserve">☒ Mensaje</w:t>
      </w:r>
    </w:p>
    <w:p>
      <w:pPr>
        <w:numPr>
          <w:ilvl w:val="0"/>
          <w:numId w:val="1028"/>
        </w:numPr>
        <w:pStyle w:val="Compact"/>
      </w:pPr>
      <w:r>
        <w:t xml:space="preserve">☐ Canal</w:t>
      </w:r>
    </w:p>
    <w:p>
      <w:pPr>
        <w:numPr>
          <w:ilvl w:val="0"/>
          <w:numId w:val="1028"/>
        </w:numPr>
        <w:pStyle w:val="Compact"/>
      </w:pPr>
      <w:r>
        <w:t xml:space="preserve">☐ Ruteo</w:t>
      </w:r>
    </w:p>
    <w:p>
      <w:pPr>
        <w:numPr>
          <w:ilvl w:val="0"/>
          <w:numId w:val="1028"/>
        </w:numPr>
        <w:pStyle w:val="Compact"/>
      </w:pPr>
      <w:r>
        <w:t xml:space="preserve">☐ Traducción</w:t>
      </w:r>
    </w:p>
    <w:p>
      <w:pPr>
        <w:numPr>
          <w:ilvl w:val="0"/>
          <w:numId w:val="1028"/>
        </w:numPr>
        <w:pStyle w:val="Compact"/>
      </w:pPr>
      <w:r>
        <w:t xml:space="preserve">☒ App proveedora (B)</w:t>
      </w:r>
    </w:p>
    <w:p>
      <w:pPr>
        <w:numPr>
          <w:ilvl w:val="0"/>
          <w:numId w:val="1028"/>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9"/>
        </w:numPr>
        <w:pStyle w:val="Compact"/>
      </w:pPr>
      <w:r>
        <w:t xml:space="preserve">Tipo: TXT | SOAP | XML | JSN | YML | BASE64</w:t>
      </w:r>
    </w:p>
    <w:p>
      <w:pPr>
        <w:numPr>
          <w:ilvl w:val="0"/>
          <w:numId w:val="1029"/>
        </w:numPr>
        <w:pStyle w:val="Compact"/>
      </w:pPr>
      <w:r>
        <w:t xml:space="preserve">Contenido: Usuario o identidad Conti</w:t>
      </w:r>
    </w:p>
    <w:p>
      <w:pPr>
        <w:pStyle w:val="FirstParagraph"/>
      </w:pPr>
      <w:r>
        <w:t xml:space="preserve">Mensaje respuesta: Rpta. Ingreso a Conti</w:t>
      </w:r>
    </w:p>
    <w:p>
      <w:pPr>
        <w:numPr>
          <w:ilvl w:val="0"/>
          <w:numId w:val="1030"/>
        </w:numPr>
        <w:pStyle w:val="Compact"/>
      </w:pPr>
      <w:r>
        <w:t xml:space="preserve">Tipo: TXT | SOAP | XML | JSN | YML | BASE64</w:t>
      </w:r>
    </w:p>
    <w:p>
      <w:pPr>
        <w:numPr>
          <w:ilvl w:val="0"/>
          <w:numId w:val="1030"/>
        </w:numPr>
        <w:pStyle w:val="Compact"/>
      </w:pPr>
      <w:r>
        <w:t xml:space="preserve">Contenido: Estado de solicitud de ingreso a Conti</w:t>
      </w:r>
    </w:p>
    <w:p>
      <w:pPr>
        <w:pStyle w:val="FirstParagraph"/>
      </w:pPr>
      <w:r>
        <w:t xml:space="preserve">Mensaje excepción: Rpta. Ingreso a Conti</w:t>
      </w:r>
    </w:p>
    <w:p>
      <w:pPr>
        <w:numPr>
          <w:ilvl w:val="0"/>
          <w:numId w:val="1031"/>
        </w:numPr>
        <w:pStyle w:val="Compact"/>
      </w:pPr>
      <w:r>
        <w:t xml:space="preserve">Tipo: TXT | SOAP | XML | JSN | YML | BASE64</w:t>
      </w:r>
    </w:p>
    <w:p>
      <w:pPr>
        <w:numPr>
          <w:ilvl w:val="0"/>
          <w:numId w:val="1031"/>
        </w:numPr>
        <w:pStyle w:val="Compact"/>
      </w:pPr>
      <w:r>
        <w:t xml:space="preserve">Contenido: Código de respuesta: HTTP 500 | TXT | Numeración (entero)</w:t>
      </w:r>
    </w:p>
    <w:bookmarkEnd w:id="60"/>
    <w:bookmarkStart w:id="61"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1"/>
    <w:bookmarkStart w:id="62"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2"/>
    <w:bookmarkStart w:id="63"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2"/>
        </w:numPr>
        <w:pStyle w:val="Compact"/>
      </w:pPr>
      <w:r>
        <w:t xml:space="preserve">PRUB1. Consumo: la aplicación consumidora Plani no recibe una respuesta a tiempo.</w:t>
      </w:r>
    </w:p>
    <w:p>
      <w:pPr>
        <w:numPr>
          <w:ilvl w:val="0"/>
          <w:numId w:val="1032"/>
        </w:numPr>
        <w:pStyle w:val="Compact"/>
      </w:pPr>
      <w:r>
        <w:t xml:space="preserve">PRUB2. Ingreso: la aplicación proveedora Conti no provee un ingreso autorizado.</w:t>
      </w:r>
    </w:p>
    <w:bookmarkEnd w:id="63"/>
    <w:bookmarkEnd w:id="64"/>
    <w:bookmarkStart w:id="65" w:name="X147db008a5dbafeb355e4e362d06a0a18cba8b1"/>
    <w:p>
      <w:pPr>
        <w:pStyle w:val="Heading3"/>
      </w:pPr>
      <w:r>
        <w:t xml:space="preserve">HU.SINT72. Integración Obtener Datos del Contrato</w:t>
      </w:r>
    </w:p>
    <w:bookmarkEnd w:id="65"/>
    <w:bookmarkStart w:id="70" w:name="sec:especificación-de-integración-2"/>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66" w:name="sec:elementos-2"/>
    <w:p>
      <w:pPr>
        <w:pStyle w:val="Heading4"/>
      </w:pPr>
      <w:r>
        <w:t xml:space="preserve">Elementos</w:t>
      </w:r>
    </w:p>
    <w:p>
      <w:pPr>
        <w:pStyle w:val="FirstParagraph"/>
      </w:pPr>
      <w:r>
        <w:t xml:space="preserve">Elegir y describir los elementos de la actual integración.</w:t>
      </w:r>
    </w:p>
    <w:p>
      <w:pPr>
        <w:numPr>
          <w:ilvl w:val="0"/>
          <w:numId w:val="1033"/>
        </w:numPr>
        <w:pStyle w:val="Compact"/>
      </w:pPr>
      <w:r>
        <w:t xml:space="preserve">☒ App consumidora (A)</w:t>
      </w:r>
    </w:p>
    <w:p>
      <w:pPr>
        <w:numPr>
          <w:ilvl w:val="0"/>
          <w:numId w:val="1033"/>
        </w:numPr>
        <w:pStyle w:val="Compact"/>
      </w:pPr>
      <w:r>
        <w:t xml:space="preserve">☒ Mensaje</w:t>
      </w:r>
    </w:p>
    <w:p>
      <w:pPr>
        <w:numPr>
          <w:ilvl w:val="0"/>
          <w:numId w:val="1033"/>
        </w:numPr>
        <w:pStyle w:val="Compact"/>
      </w:pPr>
      <w:r>
        <w:t xml:space="preserve">☐ Canal</w:t>
      </w:r>
    </w:p>
    <w:p>
      <w:pPr>
        <w:numPr>
          <w:ilvl w:val="0"/>
          <w:numId w:val="1033"/>
        </w:numPr>
        <w:pStyle w:val="Compact"/>
      </w:pPr>
      <w:r>
        <w:t xml:space="preserve">☐ Ruteo</w:t>
      </w:r>
    </w:p>
    <w:p>
      <w:pPr>
        <w:numPr>
          <w:ilvl w:val="0"/>
          <w:numId w:val="1033"/>
        </w:numPr>
        <w:pStyle w:val="Compact"/>
      </w:pPr>
      <w:r>
        <w:t xml:space="preserve">☐ Traducción</w:t>
      </w:r>
    </w:p>
    <w:p>
      <w:pPr>
        <w:numPr>
          <w:ilvl w:val="0"/>
          <w:numId w:val="1033"/>
        </w:numPr>
        <w:pStyle w:val="Compact"/>
      </w:pPr>
      <w:r>
        <w:t xml:space="preserve">☒ App proveedora (B)</w:t>
      </w:r>
    </w:p>
    <w:p>
      <w:pPr>
        <w:numPr>
          <w:ilvl w:val="0"/>
          <w:numId w:val="103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4"/>
        </w:numPr>
        <w:pStyle w:val="Compact"/>
      </w:pPr>
      <w:r>
        <w:t xml:space="preserve">Tipo: TXT | SOAP | XML | JSN | YML | BASE64</w:t>
      </w:r>
    </w:p>
    <w:p>
      <w:pPr>
        <w:numPr>
          <w:ilvl w:val="0"/>
          <w:numId w:val="1034"/>
        </w:numPr>
        <w:pStyle w:val="Compact"/>
      </w:pPr>
      <w:r>
        <w:t xml:space="preserve">Contenido: Usuario o identidad Conti</w:t>
      </w:r>
    </w:p>
    <w:p>
      <w:pPr>
        <w:pStyle w:val="FirstParagraph"/>
      </w:pPr>
      <w:r>
        <w:t xml:space="preserve">Mensaje respuesta: Rpta. Ingreso a Conti</w:t>
      </w:r>
    </w:p>
    <w:p>
      <w:pPr>
        <w:numPr>
          <w:ilvl w:val="0"/>
          <w:numId w:val="1035"/>
        </w:numPr>
        <w:pStyle w:val="Compact"/>
      </w:pPr>
      <w:r>
        <w:t xml:space="preserve">Tipo: TXT | SOAP | XML | JSN | YML | BASE64</w:t>
      </w:r>
    </w:p>
    <w:p>
      <w:pPr>
        <w:numPr>
          <w:ilvl w:val="0"/>
          <w:numId w:val="1035"/>
        </w:numPr>
        <w:pStyle w:val="Compact"/>
      </w:pPr>
      <w:r>
        <w:t xml:space="preserve">Contenido: Estado de solicitud de ingreso a Conti</w:t>
      </w:r>
    </w:p>
    <w:p>
      <w:pPr>
        <w:pStyle w:val="FirstParagraph"/>
      </w:pPr>
      <w:r>
        <w:t xml:space="preserve">Mensaje excepción: Rpta. Ingreso a Conti</w:t>
      </w:r>
    </w:p>
    <w:p>
      <w:pPr>
        <w:numPr>
          <w:ilvl w:val="0"/>
          <w:numId w:val="1036"/>
        </w:numPr>
        <w:pStyle w:val="Compact"/>
      </w:pPr>
      <w:r>
        <w:t xml:space="preserve">Tipo: TXT | SOAP | XML | JSN | YML | BASE64</w:t>
      </w:r>
    </w:p>
    <w:p>
      <w:pPr>
        <w:numPr>
          <w:ilvl w:val="0"/>
          <w:numId w:val="1036"/>
        </w:numPr>
        <w:pStyle w:val="Compact"/>
      </w:pPr>
      <w:r>
        <w:t xml:space="preserve">Contenido: Código de respuesta: HTTP 500 | TXT | Numeración (entero)</w:t>
      </w:r>
    </w:p>
    <w:bookmarkEnd w:id="66"/>
    <w:bookmarkStart w:id="67"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7"/>
    <w:bookmarkStart w:id="68"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8"/>
    <w:bookmarkStart w:id="69"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7"/>
        </w:numPr>
        <w:pStyle w:val="Compact"/>
      </w:pPr>
      <w:r>
        <w:t xml:space="preserve">PRUB1. Consumo: la aplicación consumidora Plani no recibe una respuesta a tiempo.</w:t>
      </w:r>
    </w:p>
    <w:p>
      <w:pPr>
        <w:numPr>
          <w:ilvl w:val="0"/>
          <w:numId w:val="1037"/>
        </w:numPr>
        <w:pStyle w:val="Compact"/>
      </w:pPr>
      <w:r>
        <w:t xml:space="preserve">PRUB2. Ingreso: la aplicación proveedora Conti no provee un ingreso autorizado.</w:t>
      </w:r>
    </w:p>
    <w:bookmarkEnd w:id="69"/>
    <w:bookmarkEnd w:id="70"/>
    <w:bookmarkEnd w:id="71"/>
    <w:bookmarkEnd w:id="72"/>
    <w:bookmarkStart w:id="89" w:name="Xe686877163483f2fa6879f96d63284a1593ddd2"/>
    <w:p>
      <w:pPr>
        <w:pStyle w:val="Heading1"/>
      </w:pPr>
      <w:r>
        <w:t xml:space="preserve">Modelo de Despliegue de Requerimientos de Interoperabilidad Proyecto JEP</w:t>
      </w:r>
    </w:p>
    <w:bookmarkStart w:id="79"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74" name="Picture"/>
            <a:graphic>
              <a:graphicData uri="http://schemas.openxmlformats.org/drawingml/2006/picture">
                <pic:pic>
                  <pic:nvPicPr>
                    <pic:cNvPr descr="images/06.ENTRG.1n.1a.1.DespliegueEntregasdeRequerimientoVersion0.1.png" id="75" name="Picture"/>
                    <pic:cNvPicPr>
                      <a:picLocks noChangeArrowheads="1" noChangeAspect="1"/>
                    </pic:cNvPicPr>
                  </pic:nvPicPr>
                  <pic:blipFill>
                    <a:blip r:embed="rId73"/>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78" w:name="sec:elementos-del-modelo-2"/>
    <w:p>
      <w:pPr>
        <w:pStyle w:val="Heading3"/>
      </w:pPr>
      <w:r>
        <w:t xml:space="preserve">Elementos del Modelo</w:t>
      </w:r>
    </w:p>
    <w:p>
      <w:pPr>
        <w:numPr>
          <w:ilvl w:val="0"/>
          <w:numId w:val="1038"/>
        </w:numPr>
      </w:pPr>
      <w:r>
        <w:rPr>
          <w:bCs/>
          <w:b/>
        </w:rPr>
        <w:t xml:space="preserve">Ciclo. Entrega versión 1</w:t>
      </w:r>
      <w:r>
        <w:t xml:space="preserve">. Versión 1. Solución integración JEP.</w:t>
      </w:r>
    </w:p>
    <w:p>
      <w:pPr>
        <w:numPr>
          <w:ilvl w:val="0"/>
          <w:numId w:val="1038"/>
        </w:numPr>
      </w:pPr>
      <w:r>
        <w:rPr>
          <w:bCs/>
          <w:b/>
        </w:rPr>
        <w:t xml:space="preserve">Capacidad: Integrar operaciones Conti x Plani</w:t>
      </w:r>
      <w:r>
        <w:t xml:space="preserve">. Característica de integración de Conti contenido en la solución de integración JEP, 2024.</w:t>
      </w:r>
    </w:p>
    <w:p>
      <w:pPr>
        <w:numPr>
          <w:ilvl w:val="0"/>
          <w:numId w:val="1038"/>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38"/>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77" w:name="Xf3f2a5b00035c349fdba78c62a0da344d81b6a9"/>
    <w:p>
      <w:pPr>
        <w:pStyle w:val="Heading4"/>
      </w:pPr>
      <w:r>
        <w:t xml:space="preserve">Índice de la documentación (casos de uso)</w:t>
      </w:r>
    </w:p>
    <w:p>
      <w:pPr>
        <w:numPr>
          <w:ilvl w:val="0"/>
          <w:numId w:val="1039"/>
        </w:numPr>
        <w:pStyle w:val="Compact"/>
      </w:pPr>
      <w:r>
        <w:t xml:space="preserve">Integración. Ingreso a Conti</w:t>
      </w:r>
    </w:p>
    <w:p>
      <w:pPr>
        <w:numPr>
          <w:ilvl w:val="0"/>
          <w:numId w:val="1039"/>
        </w:numPr>
        <w:pStyle w:val="Compact"/>
      </w:pPr>
      <w:r>
        <w:t xml:space="preserve">Integración. Consulta ítem de Conti</w:t>
      </w:r>
    </w:p>
    <w:p>
      <w:pPr>
        <w:numPr>
          <w:ilvl w:val="0"/>
          <w:numId w:val="1039"/>
        </w:numPr>
        <w:pStyle w:val="Compact"/>
      </w:pPr>
      <w:r>
        <w:t xml:space="preserve">Integración. Radicar ítem</w:t>
      </w:r>
    </w:p>
    <w:p>
      <w:pPr>
        <w:numPr>
          <w:ilvl w:val="0"/>
          <w:numId w:val="1039"/>
        </w:numPr>
        <w:pStyle w:val="Compact"/>
      </w:pPr>
      <w:r>
        <w:t xml:space="preserve">Integración. Generación de documentos</w:t>
      </w:r>
    </w:p>
    <w:p>
      <w:pPr>
        <w:numPr>
          <w:ilvl w:val="0"/>
          <w:numId w:val="1040"/>
        </w:numPr>
      </w:pPr>
      <w:r>
        <w:rPr>
          <w:bCs/>
          <w:b/>
        </w:rPr>
        <w:t xml:space="preserve">SINT1. Integración. Ingreso a Conti</w:t>
      </w:r>
      <w:r>
        <w:t xml:space="preserve">. Tareas de desarrollo</w:t>
      </w:r>
    </w:p>
    <w:p>
      <w:pPr>
        <w:numPr>
          <w:ilvl w:val="0"/>
          <w:numId w:val="1040"/>
        </w:numPr>
      </w:pPr>
      <w:r>
        <w:t xml:space="preserve">Interoperabilidad IOP1. Transporte / Entrega Consulta Negocio</w:t>
      </w:r>
    </w:p>
    <w:p>
      <w:pPr>
        <w:numPr>
          <w:ilvl w:val="0"/>
          <w:numId w:val="1040"/>
        </w:numPr>
      </w:pPr>
      <w:r>
        <w:t xml:space="preserve">Modelo de datos (XML, RBDMS, …)</w:t>
      </w:r>
    </w:p>
    <w:p>
      <w:pPr>
        <w:numPr>
          <w:ilvl w:val="0"/>
          <w:numId w:val="1040"/>
        </w:numPr>
      </w:pPr>
      <w:r>
        <w:t xml:space="preserve">Esquema de datos (XSD, DTD, JSON-E…)</w:t>
      </w:r>
    </w:p>
    <w:p>
      <w:pPr>
        <w:numPr>
          <w:ilvl w:val="0"/>
          <w:numId w:val="1040"/>
        </w:numPr>
      </w:pPr>
      <w:r>
        <w:t xml:space="preserve">Contratos de interoperabilidad (WSDL, API…)</w:t>
      </w:r>
    </w:p>
    <w:p>
      <w:pPr>
        <w:numPr>
          <w:ilvl w:val="0"/>
          <w:numId w:val="1040"/>
        </w:numPr>
      </w:pPr>
      <w:r>
        <w:t xml:space="preserve">Mensajes petición IN (API, XML…)</w:t>
      </w:r>
    </w:p>
    <w:p>
      <w:pPr>
        <w:numPr>
          <w:ilvl w:val="0"/>
          <w:numId w:val="1040"/>
        </w:numPr>
      </w:pPr>
      <w:r>
        <w:t xml:space="preserve">Mensajes respuesta OUT (API, XML…)</w:t>
      </w:r>
    </w:p>
    <w:p>
      <w:pPr>
        <w:numPr>
          <w:ilvl w:val="0"/>
          <w:numId w:val="1040"/>
        </w:numPr>
      </w:pPr>
      <w:r>
        <w:t xml:space="preserve">Mensajes excepción (API, XML…)</w:t>
      </w:r>
    </w:p>
    <w:p>
      <w:pPr>
        <w:numPr>
          <w:ilvl w:val="0"/>
          <w:numId w:val="1040"/>
        </w:numPr>
      </w:pPr>
      <w:r>
        <w:t xml:space="preserve">Transporte (REST, SOAP)</w:t>
      </w:r>
    </w:p>
    <w:p>
      <w:pPr>
        <w:numPr>
          <w:ilvl w:val="0"/>
          <w:numId w:val="1040"/>
        </w:numPr>
      </w:pPr>
      <w:r>
        <w:t xml:space="preserve">Función lógica (JEE, …)</w:t>
      </w:r>
    </w:p>
    <w:p>
      <w:pPr>
        <w:numPr>
          <w:ilvl w:val="0"/>
          <w:numId w:val="1040"/>
        </w:numPr>
      </w:pPr>
      <w:r>
        <w:t xml:space="preserve">Registro y envío de actividad</w:t>
      </w:r>
    </w:p>
    <w:p>
      <w:pPr>
        <w:numPr>
          <w:ilvl w:val="0"/>
          <w:numId w:val="1040"/>
        </w:numPr>
      </w:pPr>
      <w:r>
        <w:rPr>
          <w:bCs/>
          <w:b/>
        </w:rPr>
        <w:t xml:space="preserve">SINT2. Integración. Consulta ítem de Conti</w:t>
      </w:r>
      <w:r>
        <w:t xml:space="preserve">. Tareas de desarrollo</w:t>
      </w:r>
    </w:p>
    <w:p>
      <w:pPr>
        <w:numPr>
          <w:ilvl w:val="0"/>
          <w:numId w:val="1040"/>
        </w:numPr>
      </w:pPr>
      <w:r>
        <w:t xml:space="preserve">Interoperabilidad IOP1. Transporte / Entrega Consulta Negocio</w:t>
      </w:r>
    </w:p>
    <w:p>
      <w:pPr>
        <w:numPr>
          <w:ilvl w:val="0"/>
          <w:numId w:val="1040"/>
        </w:numPr>
      </w:pPr>
      <w:r>
        <w:t xml:space="preserve">Modelo de datos (XML, RBDMS, …)</w:t>
      </w:r>
    </w:p>
    <w:p>
      <w:pPr>
        <w:numPr>
          <w:ilvl w:val="0"/>
          <w:numId w:val="1040"/>
        </w:numPr>
      </w:pPr>
      <w:r>
        <w:t xml:space="preserve">Esquema de datos (XSD, DTD, JSON-E…)</w:t>
      </w:r>
    </w:p>
    <w:p>
      <w:pPr>
        <w:numPr>
          <w:ilvl w:val="0"/>
          <w:numId w:val="1040"/>
        </w:numPr>
      </w:pPr>
      <w:r>
        <w:t xml:space="preserve">Contratos de interoperabilidad (WSDL, API…)</w:t>
      </w:r>
    </w:p>
    <w:p>
      <w:pPr>
        <w:numPr>
          <w:ilvl w:val="0"/>
          <w:numId w:val="1040"/>
        </w:numPr>
      </w:pPr>
      <w:r>
        <w:t xml:space="preserve">Mensajes petición IN (API, XML…)</w:t>
      </w:r>
    </w:p>
    <w:p>
      <w:pPr>
        <w:numPr>
          <w:ilvl w:val="0"/>
          <w:numId w:val="1040"/>
        </w:numPr>
      </w:pPr>
      <w:r>
        <w:t xml:space="preserve">Mensajes respuesta OUT (API, XML…)</w:t>
      </w:r>
    </w:p>
    <w:p>
      <w:pPr>
        <w:numPr>
          <w:ilvl w:val="0"/>
          <w:numId w:val="1040"/>
        </w:numPr>
      </w:pPr>
      <w:r>
        <w:t xml:space="preserve">Mensajes excepción (API, XML…)</w:t>
      </w:r>
    </w:p>
    <w:p>
      <w:pPr>
        <w:numPr>
          <w:ilvl w:val="0"/>
          <w:numId w:val="1040"/>
        </w:numPr>
      </w:pPr>
      <w:r>
        <w:t xml:space="preserve">Transporte (REST, SOAP)</w:t>
      </w:r>
    </w:p>
    <w:p>
      <w:pPr>
        <w:numPr>
          <w:ilvl w:val="0"/>
          <w:numId w:val="1040"/>
        </w:numPr>
      </w:pPr>
      <w:r>
        <w:t xml:space="preserve">Función lógica (JEE, …)</w:t>
      </w:r>
    </w:p>
    <w:p>
      <w:pPr>
        <w:numPr>
          <w:ilvl w:val="0"/>
          <w:numId w:val="1040"/>
        </w:numPr>
      </w:pPr>
      <w:r>
        <w:t xml:space="preserve">Registro y envío de actividad</w:t>
      </w:r>
    </w:p>
    <w:p>
      <w:pPr>
        <w:numPr>
          <w:ilvl w:val="0"/>
          <w:numId w:val="1040"/>
        </w:numPr>
      </w:pPr>
      <w:r>
        <w:rPr>
          <w:bCs/>
          <w:b/>
        </w:rPr>
        <w:t xml:space="preserve">SINT3. Integración. Radicar ítem</w:t>
      </w:r>
      <w:r>
        <w:t xml:space="preserve">. Tareas de desarrollo</w:t>
      </w:r>
    </w:p>
    <w:p>
      <w:pPr>
        <w:numPr>
          <w:ilvl w:val="0"/>
          <w:numId w:val="1040"/>
        </w:numPr>
      </w:pPr>
      <w:r>
        <w:t xml:space="preserve">Interoperabilidad IOP1. Transporte / Entrega Consulta Negocio</w:t>
      </w:r>
    </w:p>
    <w:p>
      <w:pPr>
        <w:numPr>
          <w:ilvl w:val="0"/>
          <w:numId w:val="1040"/>
        </w:numPr>
      </w:pPr>
      <w:r>
        <w:t xml:space="preserve">Modelo de datos (XML, RBDMS, …)</w:t>
      </w:r>
    </w:p>
    <w:p>
      <w:pPr>
        <w:numPr>
          <w:ilvl w:val="0"/>
          <w:numId w:val="1040"/>
        </w:numPr>
      </w:pPr>
      <w:r>
        <w:t xml:space="preserve">Esquema de datos (XSD, DTD, JSON-E…)</w:t>
      </w:r>
    </w:p>
    <w:p>
      <w:pPr>
        <w:numPr>
          <w:ilvl w:val="0"/>
          <w:numId w:val="1040"/>
        </w:numPr>
      </w:pPr>
      <w:r>
        <w:t xml:space="preserve">Contratos de interoperabilidad (WSDL, API…)</w:t>
      </w:r>
    </w:p>
    <w:p>
      <w:pPr>
        <w:numPr>
          <w:ilvl w:val="0"/>
          <w:numId w:val="1040"/>
        </w:numPr>
      </w:pPr>
      <w:r>
        <w:t xml:space="preserve">Mensajes petición IN (API, XML…)</w:t>
      </w:r>
    </w:p>
    <w:p>
      <w:pPr>
        <w:numPr>
          <w:ilvl w:val="0"/>
          <w:numId w:val="1040"/>
        </w:numPr>
      </w:pPr>
      <w:r>
        <w:t xml:space="preserve">Mensajes respuesta OUT (API, XML…)</w:t>
      </w:r>
    </w:p>
    <w:p>
      <w:pPr>
        <w:numPr>
          <w:ilvl w:val="0"/>
          <w:numId w:val="1040"/>
        </w:numPr>
      </w:pPr>
      <w:r>
        <w:t xml:space="preserve">Mensajes excepción (API, XML…)</w:t>
      </w:r>
    </w:p>
    <w:p>
      <w:pPr>
        <w:numPr>
          <w:ilvl w:val="0"/>
          <w:numId w:val="1040"/>
        </w:numPr>
      </w:pPr>
      <w:r>
        <w:t xml:space="preserve">Transporte (REST, SOAP)</w:t>
      </w:r>
    </w:p>
    <w:p>
      <w:pPr>
        <w:numPr>
          <w:ilvl w:val="0"/>
          <w:numId w:val="1040"/>
        </w:numPr>
      </w:pPr>
      <w:r>
        <w:t xml:space="preserve">Función lógica (JEE, …)</w:t>
      </w:r>
    </w:p>
    <w:p>
      <w:pPr>
        <w:numPr>
          <w:ilvl w:val="0"/>
          <w:numId w:val="1040"/>
        </w:numPr>
      </w:pPr>
      <w:r>
        <w:t xml:space="preserve">Registro y envío de actividad</w:t>
      </w:r>
    </w:p>
    <w:p>
      <w:pPr>
        <w:numPr>
          <w:ilvl w:val="0"/>
          <w:numId w:val="1040"/>
        </w:numPr>
      </w:pPr>
      <w:r>
        <w:rPr>
          <w:bCs/>
          <w:b/>
        </w:rPr>
        <w:t xml:space="preserve">SINT4. Integración. Generación de documentos</w:t>
      </w:r>
      <w:r>
        <w:t xml:space="preserve">. Tareas de desarrollo</w:t>
      </w:r>
    </w:p>
    <w:p>
      <w:pPr>
        <w:numPr>
          <w:ilvl w:val="0"/>
          <w:numId w:val="1040"/>
        </w:numPr>
      </w:pPr>
      <w:r>
        <w:t xml:space="preserve">Interoperabilidad IOP1. Transporte / Entrega Consulta Negocio</w:t>
      </w:r>
    </w:p>
    <w:p>
      <w:pPr>
        <w:numPr>
          <w:ilvl w:val="0"/>
          <w:numId w:val="1040"/>
        </w:numPr>
      </w:pPr>
      <w:r>
        <w:t xml:space="preserve">Modelo de datos (XML, RBDMS, …)</w:t>
      </w:r>
    </w:p>
    <w:p>
      <w:pPr>
        <w:numPr>
          <w:ilvl w:val="0"/>
          <w:numId w:val="1040"/>
        </w:numPr>
      </w:pPr>
      <w:r>
        <w:t xml:space="preserve">Esquema de datos (XSD, DTD, JSON-E…)</w:t>
      </w:r>
    </w:p>
    <w:p>
      <w:pPr>
        <w:numPr>
          <w:ilvl w:val="0"/>
          <w:numId w:val="1040"/>
        </w:numPr>
      </w:pPr>
      <w:r>
        <w:t xml:space="preserve">Contratos de interoperabilidad (WSDL, API…)</w:t>
      </w:r>
    </w:p>
    <w:p>
      <w:pPr>
        <w:numPr>
          <w:ilvl w:val="0"/>
          <w:numId w:val="1040"/>
        </w:numPr>
      </w:pPr>
      <w:r>
        <w:t xml:space="preserve">Mensajes petición IN (API, XML…)</w:t>
      </w:r>
    </w:p>
    <w:p>
      <w:pPr>
        <w:numPr>
          <w:ilvl w:val="0"/>
          <w:numId w:val="1040"/>
        </w:numPr>
      </w:pPr>
      <w:r>
        <w:t xml:space="preserve">Mensajes respuesta OUT (API, XML…)</w:t>
      </w:r>
    </w:p>
    <w:p>
      <w:pPr>
        <w:numPr>
          <w:ilvl w:val="0"/>
          <w:numId w:val="1040"/>
        </w:numPr>
      </w:pPr>
      <w:r>
        <w:t xml:space="preserve">Mensajes excepción (API, XML…)</w:t>
      </w:r>
    </w:p>
    <w:p>
      <w:pPr>
        <w:numPr>
          <w:ilvl w:val="0"/>
          <w:numId w:val="1040"/>
        </w:numPr>
      </w:pPr>
      <w:r>
        <w:t xml:space="preserve">Transporte (REST, SOAP)</w:t>
      </w:r>
    </w:p>
    <w:p>
      <w:pPr>
        <w:numPr>
          <w:ilvl w:val="0"/>
          <w:numId w:val="1040"/>
        </w:numPr>
      </w:pPr>
      <w:r>
        <w:t xml:space="preserve">Función lógica (JEE, …)</w:t>
      </w:r>
    </w:p>
    <w:p>
      <w:pPr>
        <w:numPr>
          <w:ilvl w:val="0"/>
          <w:numId w:val="1040"/>
        </w:numPr>
      </w:pPr>
      <w:r>
        <w:t xml:space="preserve">Registro y envío de actividad</w:t>
      </w:r>
    </w:p>
    <w:p>
      <w:pPr>
        <w:numPr>
          <w:ilvl w:val="0"/>
          <w:numId w:val="1040"/>
        </w:numPr>
      </w:pPr>
      <w:r>
        <w:rPr>
          <w:bCs/>
          <w:b/>
        </w:rPr>
        <w:t xml:space="preserve">ENTG06. Contenedor</w:t>
      </w:r>
      <w:r>
        <w:t xml:space="preserve">. Contenedores de los servicios de integración del proyecto desplegados en la infraestructura tecnológica JEP.</w:t>
      </w:r>
    </w:p>
    <w:p>
      <w:pPr>
        <w:numPr>
          <w:ilvl w:val="0"/>
          <w:numId w:val="1040"/>
        </w:numPr>
      </w:pPr>
      <w:r>
        <w:rPr>
          <w:bCs/>
          <w:b/>
        </w:rPr>
        <w:t xml:space="preserve">ENTG06. Contenedor</w:t>
      </w:r>
      <w:r>
        <w:t xml:space="preserve">. Contenedores de los servicios de integración del proyecto desplegados en la infraestructura tecnológica JEP.</w:t>
      </w:r>
    </w:p>
    <w:p>
      <w:pPr>
        <w:numPr>
          <w:ilvl w:val="0"/>
          <w:numId w:val="1040"/>
        </w:numPr>
      </w:pPr>
      <w:r>
        <w:rPr>
          <w:bCs/>
          <w:b/>
        </w:rPr>
        <w:t xml:space="preserve">Intermediador (cola o bus)</w:t>
      </w:r>
      <w:r>
        <w:t xml:space="preserve">. Bus de Red Hat, aplicación cliente Quarkus, o intermediador de integración Apache Camel.</w:t>
      </w:r>
    </w:p>
    <w:p>
      <w:pPr>
        <w:numPr>
          <w:ilvl w:val="0"/>
          <w:numId w:val="1040"/>
        </w:numPr>
      </w:pPr>
      <w:r>
        <w:rPr>
          <w:bCs/>
          <w:b/>
        </w:rPr>
        <w:t xml:space="preserve">Mensaje solicitud</w:t>
      </w:r>
      <w:r>
        <w:t xml:space="preserve">. Formato predefinido de intercambio de datos.</w:t>
      </w:r>
    </w:p>
    <w:p>
      <w:pPr>
        <w:numPr>
          <w:ilvl w:val="0"/>
          <w:numId w:val="1040"/>
        </w:numPr>
      </w:pPr>
      <w:r>
        <w:rPr>
          <w:bCs/>
          <w:b/>
        </w:rPr>
        <w:t xml:space="preserve">Mensaje respuesta o excepción</w:t>
      </w:r>
      <w:r>
        <w:t xml:space="preserve">. Formato predefinido de intercambio de datos.</w:t>
      </w:r>
    </w:p>
    <w:p>
      <w:pPr>
        <w:numPr>
          <w:ilvl w:val="0"/>
          <w:numId w:val="1040"/>
        </w:numPr>
      </w:pPr>
      <w:r>
        <w:rPr>
          <w:bCs/>
          <w:b/>
        </w:rPr>
        <w:t xml:space="preserve">Nodo Intermediador</w:t>
      </w:r>
      <w:r>
        <w:t xml:space="preserve">. Nodo lógico en donde corren los contenedores.</w:t>
      </w:r>
    </w:p>
    <w:p>
      <w:pPr>
        <w:numPr>
          <w:ilvl w:val="0"/>
          <w:numId w:val="1040"/>
        </w:numPr>
      </w:pPr>
      <w:r>
        <w:rPr>
          <w:bCs/>
          <w:b/>
        </w:rPr>
        <w:t xml:space="preserve">Nodo Integración JEP (worker)</w:t>
      </w:r>
      <w:r>
        <w:t xml:space="preserve">. Nodo lógico en donde corren los contenedores.</w:t>
      </w:r>
    </w:p>
    <w:p>
      <w:pPr>
        <w:numPr>
          <w:ilvl w:val="0"/>
          <w:numId w:val="1040"/>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1"/>
        </w:numPr>
        <w:pStyle w:val="Compact"/>
      </w:pPr>
      <w:r>
        <w:rPr>
          <w:bCs/>
          <w:b/>
        </w:rPr>
        <w:t xml:space="preserve">Acceso:</w:t>
      </w:r>
      <w:r>
        <w:t xml:space="preserve"> </w:t>
      </w:r>
      <w:r>
        <w:t xml:space="preserve">La consola se encuentra en</w:t>
      </w:r>
      <w:r>
        <w:t xml:space="preserve"> </w:t>
      </w:r>
      <w:hyperlink r:id="rId76">
        <w:r>
          <w:rPr>
            <w:rStyle w:val="Hyperlink"/>
          </w:rPr>
          <w:t xml:space="preserve">https://console-openshift-console.apps.interopera.jep.gov.co/k8s/cluster/projects</w:t>
        </w:r>
      </w:hyperlink>
      <w:r>
        <w:t xml:space="preserve">.</w:t>
      </w:r>
    </w:p>
    <w:p>
      <w:pPr>
        <w:numPr>
          <w:ilvl w:val="0"/>
          <w:numId w:val="1041"/>
        </w:numPr>
        <w:pStyle w:val="Compact"/>
      </w:pPr>
      <w:r>
        <w:rPr>
          <w:bCs/>
          <w:b/>
        </w:rPr>
        <w:t xml:space="preserve">VPN:</w:t>
      </w:r>
      <w:r>
        <w:t xml:space="preserve"> </w:t>
      </w:r>
      <w:r>
        <w:t xml:space="preserve">Gateway Remoto: 190.144.149.224.</w:t>
      </w:r>
    </w:p>
    <w:p>
      <w:pPr>
        <w:numPr>
          <w:ilvl w:val="0"/>
          <w:numId w:val="1041"/>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1"/>
        </w:numPr>
        <w:pStyle w:val="Compact"/>
      </w:pPr>
      <w:r>
        <w:rPr>
          <w:bCs/>
          <w:b/>
        </w:rPr>
        <w:t xml:space="preserve">Entorno de Despliegue:</w:t>
      </w:r>
      <w:r>
        <w:t xml:space="preserve"> </w:t>
      </w:r>
      <w:r>
        <w:t xml:space="preserve">desarrollo-sg</w:t>
      </w:r>
    </w:p>
    <w:p>
      <w:pPr>
        <w:numPr>
          <w:ilvl w:val="0"/>
          <w:numId w:val="1041"/>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2"/>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2"/>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3"/>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3"/>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3"/>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77"/>
    <w:bookmarkEnd w:id="78"/>
    <w:bookmarkEnd w:id="79"/>
    <w:bookmarkStart w:id="83"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81" name="Picture"/>
            <a:graphic>
              <a:graphicData uri="http://schemas.openxmlformats.org/drawingml/2006/picture">
                <pic:pic>
                  <pic:nvPicPr>
                    <pic:cNvPr descr="images/05.REQR.1n.3n.PlantillaCasodeUso.png" id="82" name="Picture"/>
                    <pic:cNvPicPr>
                      <a:picLocks noChangeArrowheads="1" noChangeAspect="1"/>
                    </pic:cNvPicPr>
                  </pic:nvPicPr>
                  <pic:blipFill>
                    <a:blip r:embed="rId80"/>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83"/>
    <w:bookmarkStart w:id="88"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84" w:name="sec:elementos-3"/>
    <w:p>
      <w:pPr>
        <w:pStyle w:val="Heading3"/>
      </w:pPr>
      <w:r>
        <w:t xml:space="preserve">Elementos</w:t>
      </w:r>
    </w:p>
    <w:p>
      <w:pPr>
        <w:pStyle w:val="FirstParagraph"/>
      </w:pPr>
      <w:r>
        <w:t xml:space="preserve">Elegir y describir los elementos de la actual integración.</w:t>
      </w:r>
    </w:p>
    <w:p>
      <w:pPr>
        <w:numPr>
          <w:ilvl w:val="0"/>
          <w:numId w:val="1044"/>
        </w:numPr>
        <w:pStyle w:val="Compact"/>
      </w:pPr>
      <w:r>
        <w:t xml:space="preserve">☐ App consumidora (A)</w:t>
      </w:r>
    </w:p>
    <w:p>
      <w:pPr>
        <w:numPr>
          <w:ilvl w:val="0"/>
          <w:numId w:val="1044"/>
        </w:numPr>
        <w:pStyle w:val="Compact"/>
      </w:pPr>
      <w:r>
        <w:t xml:space="preserve">☐ Mensaje</w:t>
      </w:r>
    </w:p>
    <w:p>
      <w:pPr>
        <w:numPr>
          <w:ilvl w:val="0"/>
          <w:numId w:val="1044"/>
        </w:numPr>
        <w:pStyle w:val="Compact"/>
      </w:pPr>
      <w:r>
        <w:t xml:space="preserve">☐ Canal</w:t>
      </w:r>
    </w:p>
    <w:p>
      <w:pPr>
        <w:numPr>
          <w:ilvl w:val="0"/>
          <w:numId w:val="1044"/>
        </w:numPr>
        <w:pStyle w:val="Compact"/>
      </w:pPr>
      <w:r>
        <w:t xml:space="preserve">☐ Ruteo</w:t>
      </w:r>
    </w:p>
    <w:p>
      <w:pPr>
        <w:numPr>
          <w:ilvl w:val="0"/>
          <w:numId w:val="1044"/>
        </w:numPr>
        <w:pStyle w:val="Compact"/>
      </w:pPr>
      <w:r>
        <w:t xml:space="preserve">☐ Traducción</w:t>
      </w:r>
    </w:p>
    <w:p>
      <w:pPr>
        <w:numPr>
          <w:ilvl w:val="0"/>
          <w:numId w:val="1044"/>
        </w:numPr>
        <w:pStyle w:val="Compact"/>
      </w:pPr>
      <w:r>
        <w:t xml:space="preserve">☐ App proveedora (B)</w:t>
      </w:r>
    </w:p>
    <w:p>
      <w:pPr>
        <w:numPr>
          <w:ilvl w:val="0"/>
          <w:numId w:val="1044"/>
        </w:numPr>
        <w:pStyle w:val="Compact"/>
      </w:pPr>
      <w:r>
        <w:t xml:space="preserve">☐ Monitoreo</w:t>
      </w:r>
    </w:p>
    <w:bookmarkEnd w:id="84"/>
    <w:bookmarkStart w:id="85" w:name="sec:diseño-3"/>
    <w:p>
      <w:pPr>
        <w:pStyle w:val="Heading3"/>
      </w:pPr>
      <w:r>
        <w:t xml:space="preserve">Diseño</w:t>
      </w:r>
    </w:p>
    <w:p>
      <w:pPr>
        <w:pStyle w:val="FirstParagraph"/>
      </w:pPr>
      <w:r>
        <w:t xml:space="preserve">Message Construct | Message Routing | Message Transformation | Messaging Endpoints | Messaging Channels | …</w:t>
      </w:r>
    </w:p>
    <w:bookmarkEnd w:id="85"/>
    <w:bookmarkStart w:id="86" w:name="sec:matriz-de-interoperabilidad-3"/>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86"/>
    <w:bookmarkStart w:id="87" w:name="sec:pruebas-realizables-3"/>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87"/>
    <w:bookmarkEnd w:id="88"/>
    <w:bookmarkEnd w:id="89"/>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80" Target="media/rId80.png" /><Relationship Type="http://schemas.openxmlformats.org/officeDocument/2006/relationships/image" Id="rId47" Target="media/rId47.png" /><Relationship Type="http://schemas.openxmlformats.org/officeDocument/2006/relationships/image" Id="rId73" Target="media/rId73.png" /><Relationship Type="http://schemas.openxmlformats.org/officeDocument/2006/relationships/hyperlink" Id="rId76"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76"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1.87eaa47 - Compilación para entrega - Mon, 9 Dec 2024 22:45:57 +0000</dc:creator>
  <dc:language>en</dc:language>
  <dc:subject>Implementación Proyecto</dc:subject>
  <cp:keywords>Integración, Interoperabilidad, JEP, Softgic</cp:keywords>
  <dcterms:created xsi:type="dcterms:W3CDTF">2024-12-09T22:48:10Z</dcterms:created>
  <dcterms:modified xsi:type="dcterms:W3CDTF">2024-12-09T22:48:10Z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