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1.bdbccbe - Compilación para entrega - Wed, 22 Jan 2025 20:32:00 +0000</w:t>
      </w:r>
    </w:p>
    <w:p>
      <w:pPr>
        <w:pStyle w:val="BodyText"/>
      </w:pPr>
      <w:r>
        <w:t xml:space="preserve">Versiones Anteriores</w:t>
      </w:r>
    </w:p>
    <w:p>
      <w:pPr>
        <w:pStyle w:val="BodyText"/>
      </w:pPr>
      <w:r>
        <w:t xml:space="preserve">1.70c7b82 - Compilación para entrega - Tue, 21 Jan 2025 23:19:17 +0000</w:t>
      </w:r>
    </w:p>
    <w:p>
      <w:pPr>
        <w:pStyle w:val="BodyText"/>
      </w:pPr>
      <w:r>
        <w:t xml:space="preserve">1.c1d5fa2 - Compilación para entrega - Tue, 21 Jan 2025 23:17:11 +0000</w:t>
      </w:r>
    </w:p>
    <w:p>
      <w:pPr>
        <w:pStyle w:val="BodyText"/>
      </w:pPr>
      <w:r>
        <w:t xml:space="preserve">1.79808c9 - Compilación para entrega - Tue, 21 Jan 2025 23:07:32 +0000</w:t>
      </w:r>
    </w:p>
    <w:p>
      <w:pPr>
        <w:pStyle w:val="BodyText"/>
      </w:pPr>
      <w:r>
        <w:t xml:space="preserve">1.c1206fd - Compilación para entrega - Tue, 21 Jan 2025 23:06:28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6400800" cy="2211185"/>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trasacciones registro de órdenes (servicio Ordenes en este informe). Fuente: personal TI de Trii.co,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2025-01-22T21:53:10Z</dcterms:created>
  <dcterms:modified xsi:type="dcterms:W3CDTF">2025-01-22T21:53:10Z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