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1.c1206fd - Compilación para entrega - Tue, 21 Jan 2025 23:06:28 +0000</w:t>
      </w:r>
    </w:p>
    <w:p>
      <w:pPr>
        <w:pStyle w:val="BodyText"/>
      </w:pPr>
      <w:r>
        <w:t xml:space="preserve">Versiones Anteriores</w:t>
      </w:r>
    </w:p>
    <w:p>
      <w:pPr>
        <w:pStyle w:val="BodyText"/>
      </w:pPr>
      <w:r>
        <w:t xml:space="preserve">1.e7686a1 - Compilación para entrega - Tue, 21 Jan 2025 20:03:55 +0000</w:t>
      </w:r>
    </w:p>
    <w:p>
      <w:pPr>
        <w:pStyle w:val="BodyText"/>
      </w:pPr>
      <w:r>
        <w:t xml:space="preserve">1.8087c3f - Compilación para entrega - Tue, 21 Jan 2025 19:54:22 +0000</w:t>
      </w:r>
    </w:p>
    <w:p>
      <w:pPr>
        <w:pStyle w:val="BodyText"/>
      </w:pPr>
      <w:r>
        <w:t xml:space="preserve">1.938399b - Compilación para entrega - Tue, 21 Jan 2025 18:24:45 +0000</w:t>
      </w:r>
    </w:p>
    <w:p>
      <w:pPr>
        <w:pStyle w:val="BodyText"/>
      </w:pPr>
      <w:r>
        <w:t xml:space="preserve">1.8a9bfb2 - Compilación para entrega - Mon, 20 Jan 2025 22:26:14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2" w:name="Xc7bc0fff4b21b0e1a3c3a991507ac9d1344ab17"/>
    <w:p>
      <w:pPr>
        <w:pStyle w:val="Heading1"/>
      </w:pPr>
      <w:r>
        <w:t xml:space="preserve">Informe Operativo Plataforma de Software Trii.co</w:t>
      </w:r>
    </w:p>
    <w:bookmarkStart w:id="51"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192876"/>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192876"/>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1"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31"/>
    <w:bookmarkStart w:id="37"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2"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2"/>
    <w:bookmarkStart w:id="33"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3"/>
    <w:bookmarkStart w:id="34"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4"/>
    <w:bookmarkStart w:id="35"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5"/>
    <w:bookmarkStart w:id="36"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6"/>
    <w:bookmarkEnd w:id="37"/>
    <w:bookmarkStart w:id="43"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8"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8"/>
    <w:bookmarkStart w:id="39"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9"/>
    <w:bookmarkStart w:id="40"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40"/>
    <w:bookmarkStart w:id="41"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1"/>
    <w:bookmarkStart w:id="42"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2"/>
    <w:bookmarkEnd w:id="43"/>
    <w:bookmarkStart w:id="49"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4"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4"/>
    <w:bookmarkStart w:id="45"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5"/>
    <w:bookmarkStart w:id="46"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6"/>
    <w:bookmarkStart w:id="47"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7"/>
    <w:bookmarkStart w:id="48"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8"/>
    <w:bookmarkEnd w:id="49"/>
    <w:bookmarkStart w:id="50" w:name="sec:referencias-1"/>
    <w:p>
      <w:pPr>
        <w:pStyle w:val="Heading3"/>
      </w:pPr>
      <w:r>
        <w:t xml:space="preserve">Referencias</w:t>
      </w:r>
    </w:p>
    <w:p>
      <w:pPr>
        <w:numPr>
          <w:ilvl w:val="0"/>
          <w:numId w:val="1006"/>
        </w:numPr>
        <w:pStyle w:val="Compact"/>
      </w:pPr>
      <w:r>
        <w:t xml:space="preserve">Google (2025). Machine families resource and comparison guide. (Web) https://cloud.google.com/compute/docs/machine-resource</w:t>
      </w:r>
    </w:p>
    <w:p>
      <w:pPr>
        <w:numPr>
          <w:ilvl w:val="0"/>
          <w:numId w:val="1006"/>
        </w:numPr>
        <w:pStyle w:val="Compact"/>
      </w:pPr>
      <w:r>
        <w:t xml:space="preserve">Grafana Labs (2025). Technical documentation. Grafana Cloud. (Web) https://grafana.com/docs/k6/latest/</w:t>
      </w:r>
    </w:p>
    <w:p>
      <w:pPr>
        <w:numPr>
          <w:ilvl w:val="0"/>
          <w:numId w:val="1006"/>
        </w:numPr>
        <w:pStyle w:val="Compact"/>
      </w:pPr>
      <w:r>
        <w:t xml:space="preserve">Heusser M. (Sep 2019). How to achieve speedy application response times. (Web) https://www.techtarget.com/searchsoftwarequality/tip/Acceptable-application-response-times-vs-industry-standard</w:t>
      </w:r>
    </w:p>
    <w:p>
      <w:pPr>
        <w:numPr>
          <w:ilvl w:val="0"/>
          <w:numId w:val="1006"/>
        </w:numPr>
        <w:pStyle w:val="Compact"/>
      </w:pPr>
      <w:r>
        <w:t xml:space="preserve">Nielsen, J. (1993). Usability Engineering. Response Times: The 3 Important Limits. (Web) https://www.nngroup.com/articles/response-times-3-important-limits/</w:t>
      </w:r>
    </w:p>
    <w:bookmarkEnd w:id="50"/>
    <w:bookmarkEnd w:id="51"/>
    <w:bookmarkEnd w:id="52"/>
    <w:bookmarkStart w:id="55" w:name="sec:evaluación-del-rendimiento"/>
    <w:p>
      <w:pPr>
        <w:pStyle w:val="Heading1"/>
      </w:pPr>
      <w:r>
        <w:t xml:space="preserve">Evaluación del Rendimiento</w:t>
      </w:r>
    </w:p>
    <w:bookmarkStart w:id="54" w:name="X4bef2024a6b85acb4de98630b2eae35eae5e0b1"/>
    <w:p>
      <w:pPr>
        <w:pStyle w:val="Heading2"/>
      </w:pPr>
      <w:r>
        <w:t xml:space="preserve">Método de Evaluación del Rendimiento Actual de Trii.co</w:t>
      </w:r>
    </w:p>
    <w:p>
      <w:pPr>
        <w:pStyle w:val="FirstParagraph"/>
      </w:pPr>
    </w:p>
    <w:bookmarkStart w:id="53"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7"/>
        </w:numPr>
        <w:pStyle w:val="Compact"/>
      </w:pPr>
      <w:r>
        <w:t xml:space="preserve">Transacciones diarias: 10000/d</w:t>
      </w:r>
    </w:p>
    <w:p>
      <w:pPr>
        <w:numPr>
          <w:ilvl w:val="0"/>
          <w:numId w:val="1007"/>
        </w:numPr>
        <w:pStyle w:val="Compact"/>
      </w:pPr>
      <w:r>
        <w:t xml:space="preserve">Transacciones por hora (10000 / 4): 2500/h</w:t>
      </w:r>
    </w:p>
    <w:p>
      <w:pPr>
        <w:numPr>
          <w:ilvl w:val="0"/>
          <w:numId w:val="1007"/>
        </w:numPr>
        <w:pStyle w:val="Compact"/>
      </w:pPr>
      <w:r>
        <w:t xml:space="preserve">Transacciones por minuto: 40/m</w:t>
      </w:r>
    </w:p>
    <w:p>
      <w:pPr>
        <w:numPr>
          <w:ilvl w:val="0"/>
          <w:numId w:val="1007"/>
        </w:numPr>
        <w:pStyle w:val="Compact"/>
      </w:pPr>
      <w:r>
        <w:t xml:space="preserve">Transacciones por segundo: 4/s</w:t>
      </w:r>
    </w:p>
    <w:bookmarkEnd w:id="53"/>
    <w:bookmarkEnd w:id="54"/>
    <w:bookmarkEnd w:id="55"/>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8"/>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8"/>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8"/>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8"/>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9"/>
        </w:numPr>
        <w:pStyle w:val="Compact"/>
      </w:pPr>
      <w:r>
        <w:t xml:space="preserve">Archivos de registro de actividad</w:t>
      </w:r>
    </w:p>
    <w:p>
      <w:pPr>
        <w:numPr>
          <w:ilvl w:val="0"/>
          <w:numId w:val="1009"/>
        </w:numPr>
        <w:pStyle w:val="Compact"/>
      </w:pPr>
      <w:r>
        <w:t xml:space="preserve">Evidencia de la ocupación de recursos</w:t>
      </w:r>
    </w:p>
    <w:p>
      <w:pPr>
        <w:numPr>
          <w:ilvl w:val="0"/>
          <w:numId w:val="1009"/>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2025-01-21T23:07:21Z</dcterms:created>
  <dcterms:modified xsi:type="dcterms:W3CDTF">2025-01-21T23:07:21Z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