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77.png" ContentType="image/png"/>
  <Override PartName="/word/media/rId51.png" ContentType="image/png"/>
  <Override PartName="/word/media/rId7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1.c6f775d</w:t>
      </w:r>
      <w:r>
        <w:t xml:space="preserve"> </w:t>
      </w:r>
      <w:r>
        <w:t xml:space="preserve">-</w:t>
      </w:r>
      <w:r>
        <w:t xml:space="preserve"> </w:t>
      </w:r>
      <w:r>
        <w:t xml:space="preserve">clean</w:t>
      </w:r>
      <w:r>
        <w:t xml:space="preserve"> </w:t>
      </w:r>
      <w:r>
        <w:t xml:space="preserve">-</w:t>
      </w:r>
      <w:r>
        <w:t xml:space="preserve"> </w:t>
      </w:r>
      <w:r>
        <w:t xml:space="preserve">Wed,</w:t>
      </w:r>
      <w:r>
        <w:t xml:space="preserve"> </w:t>
      </w:r>
      <w:r>
        <w:t xml:space="preserve">11</w:t>
      </w:r>
      <w:r>
        <w:t xml:space="preserve"> </w:t>
      </w:r>
      <w:r>
        <w:t xml:space="preserve">Dec</w:t>
      </w:r>
      <w:r>
        <w:t xml:space="preserve"> </w:t>
      </w:r>
      <w:r>
        <w:t xml:space="preserve">2024</w:t>
      </w:r>
      <w:r>
        <w:t xml:space="preserve"> </w:t>
      </w:r>
      <w:r>
        <w:t xml:space="preserve">15:20:23</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1.c6f775d - clean - Wed, 11 Dec 2024 15:20:23 -0500</w:t>
      </w:r>
    </w:p>
    <w:p>
      <w:pPr>
        <w:pStyle w:val="BodyText"/>
      </w:pPr>
      <w:r>
        <w:t xml:space="preserve">Versiones Anteriores</w:t>
      </w:r>
    </w:p>
    <w:p>
      <w:pPr>
        <w:pStyle w:val="BodyText"/>
      </w:pPr>
      <w:r>
        <w:t xml:space="preserve">1.df2d60e - crrcn.config.17 - Mon, 9 Dec 2024 17:44:22 -0500</w:t>
      </w:r>
    </w:p>
    <w:p>
      <w:pPr>
        <w:pStyle w:val="BodyText"/>
      </w:pPr>
      <w:r>
        <w:t xml:space="preserve">1.eb1ce96 - Compilación para entrega - Mon, 9 Dec 2024 22:39:35 +0000</w:t>
      </w:r>
    </w:p>
    <w:p>
      <w:pPr>
        <w:pStyle w:val="BodyText"/>
      </w:pPr>
      <w:r>
        <w:t xml:space="preserve">1.6168cfb - crrcn.config.16 - Mon, 9 Dec 2024 17:37:55 -0500</w:t>
      </w:r>
    </w:p>
    <w:p>
      <w:pPr>
        <w:pStyle w:val="BodyText"/>
      </w:pPr>
      <w:r>
        <w:t xml:space="preserve">1.d713201 - crrcn.config.16 - Mon, 9 Dec 2024 17:37:43 -0500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69" w:name="X9eaf8f9e5aaaec9efd1b932dd65c6a451e58315"/>
    <w:p>
      <w:pPr>
        <w:pStyle w:val="Heading1"/>
      </w:pPr>
      <w:r>
        <w:t xml:space="preserve">Modelo de Requerimientos de Interoperabilidad Proyecto JEP</w:t>
      </w:r>
    </w:p>
    <w:bookmarkStart w:id="50"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0.1.39</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08502"/>
            <wp:effectExtent b="0" l="0" r="0" t="0"/>
            <wp:docPr descr="05.REQR.1n.1d. Requerimiento REQR13. Fuente: Repositorio arquitectura Integración JEP (2024)" title="" id="38" name="Picture"/>
            <a:graphic>
              <a:graphicData uri="http://schemas.openxmlformats.org/drawingml/2006/picture">
                <pic:pic>
                  <pic:nvPicPr>
                    <pic:cNvPr descr="images/05.REQR.1n.1d.RequerimientoREQR13.png" id="39" name="Picture"/>
                    <pic:cNvPicPr>
                      <a:picLocks noChangeArrowheads="1" noChangeAspect="1"/>
                    </pic:cNvPicPr>
                  </pic:nvPicPr>
                  <pic:blipFill>
                    <a:blip r:embed="rId37"/>
                    <a:stretch>
                      <a:fillRect/>
                    </a:stretch>
                  </pic:blipFill>
                  <pic:spPr bwMode="auto">
                    <a:xfrm>
                      <a:off x="0" y="0"/>
                      <a:ext cx="5207000" cy="2908502"/>
                    </a:xfrm>
                    <a:prstGeom prst="rect">
                      <a:avLst/>
                    </a:prstGeom>
                    <a:noFill/>
                    <a:ln w="9525">
                      <a:noFill/>
                      <a:headEnd/>
                      <a:tailEnd/>
                    </a:ln>
                  </pic:spPr>
                </pic:pic>
              </a:graphicData>
            </a:graphic>
          </wp:inline>
        </w:drawing>
      </w:r>
    </w:p>
    <w:p>
      <w:pPr>
        <w:pStyle w:val="ImageCaption"/>
      </w:pPr>
      <w:r>
        <w:t xml:space="preserve">Figura 3: 05.REQR.1n.1d. Requerimiento REQR13.</w:t>
      </w:r>
      <w:r>
        <w:t xml:space="preserve"> </w:t>
      </w:r>
      <w:r>
        <w:rPr>
          <w:iCs/>
          <w:i/>
        </w:rPr>
        <w:t xml:space="preserve">Fuente: Repositorio arquitectura Integración JEP (2024)</w:t>
      </w:r>
    </w:p>
    <w:bookmarkStart w:id="40" w:name="sec:problema-4"/>
    <w:p>
      <w:pPr>
        <w:pStyle w:val="Heading3"/>
      </w:pPr>
      <w:r>
        <w:t xml:space="preserve">Problema 4</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valor-integración-legali-x-conti"/>
    <w:p>
      <w:pPr>
        <w:pStyle w:val="Heading3"/>
      </w:pPr>
      <w:r>
        <w:t xml:space="preserve">Valor: Integración Legali x Conti</w:t>
      </w:r>
    </w:p>
    <w:p>
      <w:pPr>
        <w:pStyle w:val="FirstParagraph"/>
      </w:pPr>
      <w:r>
        <w:t xml:space="preserve">Integración del gestor documental con el gestor de casos Legali.</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4" w:name="X0b7866cd63d7fd3f98a98cecfe889532e07ce7d"/>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44"/>
    <w:bookmarkStart w:id="45" w:name="X8ae3bc333c0d418fc477fe355d0aabfb3b51768"/>
    <w:p>
      <w:pPr>
        <w:pStyle w:val="Heading3"/>
      </w:pPr>
      <w:r>
        <w:t xml:space="preserve">Índice de la documentación (casos de uso)</w:t>
      </w:r>
    </w:p>
    <w:p>
      <w:pPr>
        <w:numPr>
          <w:ilvl w:val="0"/>
          <w:numId w:val="1017"/>
        </w:numPr>
        <w:pStyle w:val="Compact"/>
      </w:pPr>
      <w:r>
        <w:t xml:space="preserve">Caso de Uso 1. Integrar Autenticación</w:t>
      </w:r>
    </w:p>
    <w:p>
      <w:pPr>
        <w:numPr>
          <w:ilvl w:val="0"/>
          <w:numId w:val="1017"/>
        </w:numPr>
        <w:pStyle w:val="Compact"/>
      </w:pPr>
      <w:r>
        <w:t xml:space="preserve">Caso de Uso 2. Integrar Procesos de integración</w:t>
      </w:r>
    </w:p>
    <w:p>
      <w:pPr>
        <w:pStyle w:val="FirstParagraph"/>
      </w:pPr>
      <w:r>
        <w:t xml:space="preserve">Los casos de uso se detallan en anexo más adelante.</w:t>
      </w:r>
    </w:p>
    <w:bookmarkEnd w:id="45"/>
    <w:bookmarkStart w:id="46" w:name="sec:solución-4"/>
    <w:p>
      <w:pPr>
        <w:pStyle w:val="Heading3"/>
      </w:pPr>
      <w:r>
        <w:t xml:space="preserve">Solución 4</w:t>
      </w:r>
    </w:p>
    <w:bookmarkEnd w:id="46"/>
    <w:bookmarkStart w:id="47" w:name="sec:sint30.-autenticación"/>
    <w:p>
      <w:pPr>
        <w:pStyle w:val="Heading3"/>
      </w:pPr>
      <w:r>
        <w:t xml:space="preserve">SINT30. Autenticación</w:t>
      </w:r>
    </w:p>
    <w:p>
      <w:pPr>
        <w:pStyle w:val="FirstParagraph"/>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sec:sint31.-proceso-de-integración"/>
    <w:p>
      <w:pPr>
        <w:pStyle w:val="Heading3"/>
      </w:pPr>
      <w:r>
        <w:t xml:space="preserve">SINT31. Proceso de integración</w:t>
      </w:r>
    </w:p>
    <w:p>
      <w:pPr>
        <w:pStyle w:val="FirstParagraph"/>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plan-producción-scrum-y-gerencia"/>
    <w:p>
      <w:pPr>
        <w:pStyle w:val="Heading3"/>
      </w:pPr>
      <w:r>
        <w:t xml:space="preserve">Plan Producción: Scrum y Gerencia</w:t>
      </w:r>
    </w:p>
    <w:bookmarkEnd w:id="49"/>
    <w:bookmarkEnd w:id="50"/>
    <w:bookmarkStart w:id="68" w:name="Xb8c4130ec8b237b43a2c504f860899e7c6cf8cd"/>
    <w:p>
      <w:pPr>
        <w:pStyle w:val="Heading2"/>
      </w:pPr>
      <w:r>
        <w:t xml:space="preserve">Especificación CU Requerimiento REQR13</w:t>
      </w:r>
    </w:p>
    <w:p>
      <w:pPr>
        <w:pStyle w:val="BlockText"/>
      </w:pPr>
      <w:r>
        <w:t xml:space="preserve">Casos de Uso Proyecto Integración JEP, 2024. Softgic. Especificaciones de integraciones (CU), condiciones de interoperabilidad, pruebas técnicas, entregables. Versión 0.1.98</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5n. Casos de Uso REQR13. Fuente: Repositorio arquitectura Integración JEP (2024)" title="" id="52" name="Picture"/>
            <a:graphic>
              <a:graphicData uri="http://schemas.openxmlformats.org/drawingml/2006/picture">
                <pic:pic>
                  <pic:nvPicPr>
                    <pic:cNvPr descr="images/05.REQR.2n.5n.CasosdeUsoREQR13.png" id="53" name="Picture"/>
                    <pic:cNvPicPr>
                      <a:picLocks noChangeArrowheads="1" noChangeAspect="1"/>
                    </pic:cNvPicPr>
                  </pic:nvPicPr>
                  <pic:blipFill>
                    <a:blip r:embed="rId51"/>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4: 05.REQR.2n.5n. Casos de Uso REQR13.</w:t>
      </w:r>
      <w:r>
        <w:t xml:space="preserve"> </w:t>
      </w:r>
      <w:r>
        <w:rPr>
          <w:iCs/>
          <w:i/>
        </w:rPr>
        <w:t xml:space="preserve">Fuente: Repositorio arquitectura Integración JEP (2024)</w:t>
      </w:r>
    </w:p>
    <w:bookmarkStart w:id="54" w:name="X93b7709688e872e300a83b731917bf9832cf2a8"/>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54"/>
    <w:bookmarkStart w:id="55" w:name="Xe2a2e48a481680c1d6185fe541c11ce4fece4bc"/>
    <w:p>
      <w:pPr>
        <w:pStyle w:val="Heading3"/>
      </w:pPr>
      <w:r>
        <w:t xml:space="preserve">Índice de la documentación (casos de uso)</w:t>
      </w:r>
    </w:p>
    <w:p>
      <w:pPr>
        <w:numPr>
          <w:ilvl w:val="0"/>
          <w:numId w:val="1020"/>
        </w:numPr>
        <w:pStyle w:val="Compact"/>
      </w:pPr>
      <w:r>
        <w:t xml:space="preserve">Caso de Uso 1. Integrar Autenticación</w:t>
      </w:r>
    </w:p>
    <w:p>
      <w:pPr>
        <w:numPr>
          <w:ilvl w:val="0"/>
          <w:numId w:val="1020"/>
        </w:numPr>
        <w:pStyle w:val="Compact"/>
      </w:pPr>
      <w:r>
        <w:t xml:space="preserve">Caso de Uso 2. Integrar Procesos de integración</w:t>
      </w:r>
    </w:p>
    <w:p>
      <w:pPr>
        <w:pStyle w:val="FirstParagraph"/>
      </w:pPr>
      <w:r>
        <w:t xml:space="preserve">Los casos de uso se detallan en anexo más adelante.</w:t>
      </w:r>
    </w:p>
    <w:bookmarkEnd w:id="55"/>
    <w:bookmarkStart w:id="56" w:name="sec:hu.sint30.-integración-autenticación"/>
    <w:p>
      <w:pPr>
        <w:pStyle w:val="Heading3"/>
      </w:pPr>
      <w:r>
        <w:t xml:space="preserve">HU.SINT30. Integración Autenticación</w:t>
      </w:r>
    </w:p>
    <w:bookmarkEnd w:id="56"/>
    <w:bookmarkStart w:id="61"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7" w:name="sec:elementos"/>
    <w:p>
      <w:pPr>
        <w:pStyle w:val="Heading4"/>
      </w:pPr>
      <w:r>
        <w:t xml:space="preserve">Elementos</w:t>
      </w:r>
    </w:p>
    <w:p>
      <w:pPr>
        <w:pStyle w:val="FirstParagraph"/>
      </w:pPr>
      <w:r>
        <w:t xml:space="preserve">Elegir y describir los elementos de la actual integración.</w:t>
      </w:r>
    </w:p>
    <w:p>
      <w:pPr>
        <w:numPr>
          <w:ilvl w:val="0"/>
          <w:numId w:val="1021"/>
        </w:numPr>
        <w:pStyle w:val="Compact"/>
      </w:pPr>
      <w:r>
        <w:t xml:space="preserve">☒ App consumidora (A)</w:t>
      </w:r>
    </w:p>
    <w:p>
      <w:pPr>
        <w:numPr>
          <w:ilvl w:val="0"/>
          <w:numId w:val="1021"/>
        </w:numPr>
        <w:pStyle w:val="Compact"/>
      </w:pPr>
      <w:r>
        <w:t xml:space="preserve">☒ Mensaje</w:t>
      </w:r>
    </w:p>
    <w:p>
      <w:pPr>
        <w:numPr>
          <w:ilvl w:val="0"/>
          <w:numId w:val="1021"/>
        </w:numPr>
        <w:pStyle w:val="Compact"/>
      </w:pPr>
      <w:r>
        <w:t xml:space="preserve">☐ Canal</w:t>
      </w:r>
    </w:p>
    <w:p>
      <w:pPr>
        <w:numPr>
          <w:ilvl w:val="0"/>
          <w:numId w:val="1021"/>
        </w:numPr>
        <w:pStyle w:val="Compact"/>
      </w:pPr>
      <w:r>
        <w:t xml:space="preserve">☐ Ruteo</w:t>
      </w:r>
    </w:p>
    <w:p>
      <w:pPr>
        <w:numPr>
          <w:ilvl w:val="0"/>
          <w:numId w:val="1021"/>
        </w:numPr>
        <w:pStyle w:val="Compact"/>
      </w:pPr>
      <w:r>
        <w:t xml:space="preserve">☐ Traducción</w:t>
      </w:r>
    </w:p>
    <w:p>
      <w:pPr>
        <w:numPr>
          <w:ilvl w:val="0"/>
          <w:numId w:val="1021"/>
        </w:numPr>
        <w:pStyle w:val="Compact"/>
      </w:pPr>
      <w:r>
        <w:t xml:space="preserve">☒ App proveedora (B)</w:t>
      </w:r>
    </w:p>
    <w:p>
      <w:pPr>
        <w:numPr>
          <w:ilvl w:val="0"/>
          <w:numId w:val="1021"/>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2"/>
        </w:numPr>
        <w:pStyle w:val="Compact"/>
      </w:pPr>
      <w:r>
        <w:t xml:space="preserve">Tipo: TXT | SOAP | XML | JSN | YML | BASE64</w:t>
      </w:r>
    </w:p>
    <w:p>
      <w:pPr>
        <w:numPr>
          <w:ilvl w:val="0"/>
          <w:numId w:val="1022"/>
        </w:numPr>
        <w:pStyle w:val="Compact"/>
      </w:pPr>
      <w:r>
        <w:t xml:space="preserve">Contenido: Usuario o identidad Conti</w:t>
      </w:r>
    </w:p>
    <w:p>
      <w:pPr>
        <w:pStyle w:val="FirstParagraph"/>
      </w:pPr>
      <w:r>
        <w:t xml:space="preserve">Mensaje respuesta: Rpta. Ingreso a Conti</w:t>
      </w:r>
    </w:p>
    <w:p>
      <w:pPr>
        <w:numPr>
          <w:ilvl w:val="0"/>
          <w:numId w:val="1023"/>
        </w:numPr>
        <w:pStyle w:val="Compact"/>
      </w:pPr>
      <w:r>
        <w:t xml:space="preserve">Tipo: TXT | SOAP | XML | JSN | YML | BASE64</w:t>
      </w:r>
    </w:p>
    <w:p>
      <w:pPr>
        <w:numPr>
          <w:ilvl w:val="0"/>
          <w:numId w:val="1023"/>
        </w:numPr>
        <w:pStyle w:val="Compact"/>
      </w:pPr>
      <w:r>
        <w:t xml:space="preserve">Contenido: Estado de solicitud de ingreso a Conti</w:t>
      </w:r>
    </w:p>
    <w:p>
      <w:pPr>
        <w:pStyle w:val="FirstParagraph"/>
      </w:pPr>
      <w:r>
        <w:t xml:space="preserve">Mensaje excepción: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Código de respuesta: HTTP 500 | TXT | Numeración (entero)</w:t>
      </w:r>
    </w:p>
    <w:bookmarkEnd w:id="57"/>
    <w:bookmarkStart w:id="58"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8"/>
    <w:bookmarkStart w:id="59"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9"/>
    <w:bookmarkStart w:id="60"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5"/>
        </w:numPr>
        <w:pStyle w:val="Compact"/>
      </w:pPr>
      <w:r>
        <w:t xml:space="preserve">PRUB1. Consumo: la aplicación consumidora Plani no recibe una respuesta a tiempo.</w:t>
      </w:r>
    </w:p>
    <w:p>
      <w:pPr>
        <w:numPr>
          <w:ilvl w:val="0"/>
          <w:numId w:val="1025"/>
        </w:numPr>
        <w:pStyle w:val="Compact"/>
      </w:pPr>
      <w:r>
        <w:t xml:space="preserve">PRUB2. Ingreso: la aplicación proveedora Conti no provee un ingreso autorizado.</w:t>
      </w:r>
    </w:p>
    <w:bookmarkEnd w:id="60"/>
    <w:bookmarkEnd w:id="61"/>
    <w:bookmarkStart w:id="62" w:name="X3a0b3cfbd07ca841a0a948a0175d5eebcebfae6"/>
    <w:p>
      <w:pPr>
        <w:pStyle w:val="Heading3"/>
      </w:pPr>
      <w:r>
        <w:t xml:space="preserve">HU.SINT31. Integración Proceso de integración</w:t>
      </w:r>
    </w:p>
    <w:bookmarkEnd w:id="62"/>
    <w:bookmarkStart w:id="67" w:name="sec:especificación-de-integración-1"/>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26"/>
        </w:numPr>
        <w:pStyle w:val="Compact"/>
      </w:pPr>
      <w:r>
        <w:t xml:space="preserve">Dominio/mercurio/gestionMedidaProteccion/radicarMP Method: POST</w:t>
      </w:r>
    </w:p>
    <w:p>
      <w:pPr>
        <w:numPr>
          <w:ilvl w:val="0"/>
          <w:numId w:val="1026"/>
        </w:numPr>
        <w:pStyle w:val="Compact"/>
      </w:pPr>
      <w:r>
        <w:t xml:space="preserve">Content-Type: application/json.</w:t>
      </w:r>
    </w:p>
    <w:p>
      <w:pPr>
        <w:pStyle w:val="FirstParagraph"/>
      </w:pPr>
      <w:r>
        <w:t xml:space="preserve">Ver fuente anexo técnico: gestionMedidaProteccion (pdf).</w:t>
      </w:r>
    </w:p>
    <w:bookmarkStart w:id="63" w:name="sec:elementos-1"/>
    <w:p>
      <w:pPr>
        <w:pStyle w:val="Heading4"/>
      </w:pPr>
      <w:r>
        <w:t xml:space="preserve">Elementos</w:t>
      </w:r>
    </w:p>
    <w:p>
      <w:pPr>
        <w:pStyle w:val="FirstParagraph"/>
      </w:pPr>
      <w:r>
        <w:t xml:space="preserve">Elegir y describir los elementos de la actual integración.</w:t>
      </w:r>
    </w:p>
    <w:p>
      <w:pPr>
        <w:numPr>
          <w:ilvl w:val="0"/>
          <w:numId w:val="1027"/>
        </w:numPr>
        <w:pStyle w:val="Compact"/>
      </w:pPr>
      <w:r>
        <w:t xml:space="preserve">☒ App consumidora (A)</w:t>
      </w:r>
    </w:p>
    <w:p>
      <w:pPr>
        <w:numPr>
          <w:ilvl w:val="0"/>
          <w:numId w:val="1027"/>
        </w:numPr>
        <w:pStyle w:val="Compact"/>
      </w:pPr>
      <w:r>
        <w:t xml:space="preserve">☒ Mensaje</w:t>
      </w:r>
    </w:p>
    <w:p>
      <w:pPr>
        <w:numPr>
          <w:ilvl w:val="0"/>
          <w:numId w:val="1027"/>
        </w:numPr>
        <w:pStyle w:val="Compact"/>
      </w:pPr>
      <w:r>
        <w:t xml:space="preserve">☐ Canal</w:t>
      </w:r>
    </w:p>
    <w:p>
      <w:pPr>
        <w:numPr>
          <w:ilvl w:val="0"/>
          <w:numId w:val="1027"/>
        </w:numPr>
        <w:pStyle w:val="Compact"/>
      </w:pPr>
      <w:r>
        <w:t xml:space="preserve">☐ Ruteo</w:t>
      </w:r>
    </w:p>
    <w:p>
      <w:pPr>
        <w:numPr>
          <w:ilvl w:val="0"/>
          <w:numId w:val="1027"/>
        </w:numPr>
        <w:pStyle w:val="Compact"/>
      </w:pPr>
      <w:r>
        <w:t xml:space="preserve">☐ Traducción</w:t>
      </w:r>
    </w:p>
    <w:p>
      <w:pPr>
        <w:numPr>
          <w:ilvl w:val="0"/>
          <w:numId w:val="1027"/>
        </w:numPr>
        <w:pStyle w:val="Compact"/>
      </w:pPr>
      <w:r>
        <w:t xml:space="preserve">☒ App proveedora (B)</w:t>
      </w:r>
    </w:p>
    <w:p>
      <w:pPr>
        <w:numPr>
          <w:ilvl w:val="0"/>
          <w:numId w:val="1027"/>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8"/>
        </w:numPr>
        <w:pStyle w:val="Compact"/>
      </w:pPr>
      <w:r>
        <w:t xml:space="preserve">Tipo: TXT | SOAP | XML | JSN | YML | BASE64</w:t>
      </w:r>
    </w:p>
    <w:p>
      <w:pPr>
        <w:numPr>
          <w:ilvl w:val="0"/>
          <w:numId w:val="1028"/>
        </w:numPr>
        <w:pStyle w:val="Compact"/>
      </w:pPr>
      <w:r>
        <w:t xml:space="preserve">Contenido: Usuario o identidad Conti</w:t>
      </w:r>
    </w:p>
    <w:p>
      <w:pPr>
        <w:pStyle w:val="FirstParagraph"/>
      </w:pPr>
      <w:r>
        <w:t xml:space="preserve">Mensaje respuesta: Rpta. Ingreso a Conti</w:t>
      </w:r>
    </w:p>
    <w:p>
      <w:pPr>
        <w:numPr>
          <w:ilvl w:val="0"/>
          <w:numId w:val="1029"/>
        </w:numPr>
        <w:pStyle w:val="Compact"/>
      </w:pPr>
      <w:r>
        <w:t xml:space="preserve">Tipo: TXT | SOAP | XML | JSN | YML | BASE64</w:t>
      </w:r>
    </w:p>
    <w:p>
      <w:pPr>
        <w:numPr>
          <w:ilvl w:val="0"/>
          <w:numId w:val="1029"/>
        </w:numPr>
        <w:pStyle w:val="Compact"/>
      </w:pPr>
      <w:r>
        <w:t xml:space="preserve">Contenido: Estado de solicitud de ingreso a Conti</w:t>
      </w:r>
    </w:p>
    <w:p>
      <w:pPr>
        <w:pStyle w:val="FirstParagraph"/>
      </w:pPr>
      <w:r>
        <w:t xml:space="preserve">Mensaje excepción: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Código de respuesta: HTTP 500 | TXT | Numeración (entero)</w:t>
      </w:r>
    </w:p>
    <w:bookmarkEnd w:id="63"/>
    <w:bookmarkStart w:id="64"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4"/>
    <w:bookmarkStart w:id="65"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5"/>
    <w:bookmarkStart w:id="66"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1"/>
        </w:numPr>
        <w:pStyle w:val="Compact"/>
      </w:pPr>
      <w:r>
        <w:t xml:space="preserve">PRUB1. Consumo radicar.</w:t>
      </w:r>
    </w:p>
    <w:p>
      <w:pPr>
        <w:numPr>
          <w:ilvl w:val="0"/>
          <w:numId w:val="1031"/>
        </w:numPr>
        <w:pStyle w:val="Compact"/>
      </w:pPr>
      <w:r>
        <w:t xml:space="preserve">PRUB2. Falla consumo radicar.</w:t>
      </w:r>
    </w:p>
    <w:bookmarkEnd w:id="66"/>
    <w:bookmarkEnd w:id="67"/>
    <w:bookmarkEnd w:id="68"/>
    <w:bookmarkEnd w:id="69"/>
    <w:bookmarkStart w:id="86" w:name="Xe686877163483f2fa6879f96d63284a1593ddd2"/>
    <w:p>
      <w:pPr>
        <w:pStyle w:val="Heading1"/>
      </w:pPr>
      <w:r>
        <w:t xml:space="preserve">Modelo de Despliegue de Requerimientos de Interoperabilidad Proyecto JEP</w:t>
      </w:r>
    </w:p>
    <w:bookmarkStart w:id="76"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1" name="Picture"/>
            <a:graphic>
              <a:graphicData uri="http://schemas.openxmlformats.org/drawingml/2006/picture">
                <pic:pic>
                  <pic:nvPicPr>
                    <pic:cNvPr descr="images/06.ENTRG.1n.1a.1.DespliegueEntregasdeRequerimientoVersion0.1.png" id="72" name="Picture"/>
                    <pic:cNvPicPr>
                      <a:picLocks noChangeArrowheads="1" noChangeAspect="1"/>
                    </pic:cNvPicPr>
                  </pic:nvPicPr>
                  <pic:blipFill>
                    <a:blip r:embed="rId70"/>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75" w:name="sec:elementos-del-modelo-2"/>
    <w:p>
      <w:pPr>
        <w:pStyle w:val="Heading3"/>
      </w:pPr>
      <w:r>
        <w:t xml:space="preserve">Elementos del Modelo</w:t>
      </w:r>
    </w:p>
    <w:p>
      <w:pPr>
        <w:numPr>
          <w:ilvl w:val="0"/>
          <w:numId w:val="1032"/>
        </w:numPr>
      </w:pPr>
      <w:r>
        <w:rPr>
          <w:bCs/>
          <w:b/>
        </w:rPr>
        <w:t xml:space="preserve">Ciclo. Entrega versión 1</w:t>
      </w:r>
      <w:r>
        <w:t xml:space="preserve">. Versión 1. Solución integración JEP.</w:t>
      </w:r>
    </w:p>
    <w:p>
      <w:pPr>
        <w:numPr>
          <w:ilvl w:val="0"/>
          <w:numId w:val="1032"/>
        </w:numPr>
      </w:pPr>
      <w:r>
        <w:rPr>
          <w:bCs/>
          <w:b/>
        </w:rPr>
        <w:t xml:space="preserve">Capacidad: Integrar operaciones Conti x Plani</w:t>
      </w:r>
      <w:r>
        <w:t xml:space="preserve">. Característica de integración de Conti contenido en la solución de integración JEP, 2024.</w:t>
      </w:r>
    </w:p>
    <w:p>
      <w:pPr>
        <w:numPr>
          <w:ilvl w:val="0"/>
          <w:numId w:val="1032"/>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32"/>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74" w:name="Xf3f2a5b00035c349fdba78c62a0da344d81b6a9"/>
    <w:p>
      <w:pPr>
        <w:pStyle w:val="Heading4"/>
      </w:pPr>
      <w:r>
        <w:t xml:space="preserve">Índice de la documentación (casos de uso)</w:t>
      </w:r>
    </w:p>
    <w:p>
      <w:pPr>
        <w:numPr>
          <w:ilvl w:val="0"/>
          <w:numId w:val="1033"/>
        </w:numPr>
        <w:pStyle w:val="Compact"/>
      </w:pPr>
      <w:r>
        <w:t xml:space="preserve">Integración. Ingreso a Conti</w:t>
      </w:r>
    </w:p>
    <w:p>
      <w:pPr>
        <w:numPr>
          <w:ilvl w:val="0"/>
          <w:numId w:val="1033"/>
        </w:numPr>
        <w:pStyle w:val="Compact"/>
      </w:pPr>
      <w:r>
        <w:t xml:space="preserve">Integración. Consulta ítem de Conti</w:t>
      </w:r>
    </w:p>
    <w:p>
      <w:pPr>
        <w:numPr>
          <w:ilvl w:val="0"/>
          <w:numId w:val="1033"/>
        </w:numPr>
        <w:pStyle w:val="Compact"/>
      </w:pPr>
      <w:r>
        <w:t xml:space="preserve">Integración. Radicar ítem</w:t>
      </w:r>
    </w:p>
    <w:p>
      <w:pPr>
        <w:numPr>
          <w:ilvl w:val="0"/>
          <w:numId w:val="1033"/>
        </w:numPr>
        <w:pStyle w:val="Compact"/>
      </w:pPr>
      <w:r>
        <w:t xml:space="preserve">Integración. Generación de documentos</w:t>
      </w:r>
    </w:p>
    <w:p>
      <w:pPr>
        <w:numPr>
          <w:ilvl w:val="0"/>
          <w:numId w:val="1034"/>
        </w:numPr>
      </w:pPr>
      <w:r>
        <w:rPr>
          <w:bCs/>
          <w:b/>
        </w:rPr>
        <w:t xml:space="preserve">SINT1. Integración. Ingreso a Conti</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SINT2. Integración. Consulta ítem de Conti</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SINT3. Integración. Radicar ítem</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SINT4. Integración. Generación de documentos</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ENTG06. Contenedor</w:t>
      </w:r>
      <w:r>
        <w:t xml:space="preserve">. Contenedores de los servicios de integración del proyecto desplegados en la infraestructura tecnológica JEP.</w:t>
      </w:r>
    </w:p>
    <w:p>
      <w:pPr>
        <w:numPr>
          <w:ilvl w:val="0"/>
          <w:numId w:val="1034"/>
        </w:numPr>
      </w:pPr>
      <w:r>
        <w:rPr>
          <w:bCs/>
          <w:b/>
        </w:rPr>
        <w:t xml:space="preserve">ENTG06. Contenedor</w:t>
      </w:r>
      <w:r>
        <w:t xml:space="preserve">. Contenedores de los servicios de integración del proyecto desplegados en la infraestructura tecnológica JEP.</w:t>
      </w:r>
    </w:p>
    <w:p>
      <w:pPr>
        <w:numPr>
          <w:ilvl w:val="0"/>
          <w:numId w:val="1034"/>
        </w:numPr>
      </w:pPr>
      <w:r>
        <w:rPr>
          <w:bCs/>
          <w:b/>
        </w:rPr>
        <w:t xml:space="preserve">Intermediador (cola o bus)</w:t>
      </w:r>
      <w:r>
        <w:t xml:space="preserve">. Bus de Red Hat, aplicación cliente Quarkus, o intermediador de integración Apache Camel.</w:t>
      </w:r>
    </w:p>
    <w:p>
      <w:pPr>
        <w:numPr>
          <w:ilvl w:val="0"/>
          <w:numId w:val="1034"/>
        </w:numPr>
      </w:pPr>
      <w:r>
        <w:rPr>
          <w:bCs/>
          <w:b/>
        </w:rPr>
        <w:t xml:space="preserve">Mensaje solicitud</w:t>
      </w:r>
      <w:r>
        <w:t xml:space="preserve">. Formato predefinido de intercambio de datos.</w:t>
      </w:r>
    </w:p>
    <w:p>
      <w:pPr>
        <w:numPr>
          <w:ilvl w:val="0"/>
          <w:numId w:val="1034"/>
        </w:numPr>
      </w:pPr>
      <w:r>
        <w:rPr>
          <w:bCs/>
          <w:b/>
        </w:rPr>
        <w:t xml:space="preserve">Mensaje respuesta o excepción</w:t>
      </w:r>
      <w:r>
        <w:t xml:space="preserve">. Formato predefinido de intercambio de datos.</w:t>
      </w:r>
    </w:p>
    <w:p>
      <w:pPr>
        <w:numPr>
          <w:ilvl w:val="0"/>
          <w:numId w:val="1034"/>
        </w:numPr>
      </w:pPr>
      <w:r>
        <w:rPr>
          <w:bCs/>
          <w:b/>
        </w:rPr>
        <w:t xml:space="preserve">Nodo Intermediador</w:t>
      </w:r>
      <w:r>
        <w:t xml:space="preserve">. Nodo lógico en donde corren los contenedores.</w:t>
      </w:r>
    </w:p>
    <w:p>
      <w:pPr>
        <w:numPr>
          <w:ilvl w:val="0"/>
          <w:numId w:val="1034"/>
        </w:numPr>
      </w:pPr>
      <w:r>
        <w:rPr>
          <w:bCs/>
          <w:b/>
        </w:rPr>
        <w:t xml:space="preserve">Nodo Integración JEP (worker)</w:t>
      </w:r>
      <w:r>
        <w:t xml:space="preserve">. Nodo lógico en donde corren los contenedores.</w:t>
      </w:r>
    </w:p>
    <w:p>
      <w:pPr>
        <w:numPr>
          <w:ilvl w:val="0"/>
          <w:numId w:val="1034"/>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35"/>
        </w:numPr>
        <w:pStyle w:val="Compact"/>
      </w:pPr>
      <w:r>
        <w:rPr>
          <w:bCs/>
          <w:b/>
        </w:rPr>
        <w:t xml:space="preserve">Acceso:</w:t>
      </w:r>
      <w:r>
        <w:t xml:space="preserve"> </w:t>
      </w:r>
      <w:r>
        <w:t xml:space="preserve">La consola se encuentra en</w:t>
      </w:r>
      <w:r>
        <w:t xml:space="preserve"> </w:t>
      </w:r>
      <w:hyperlink r:id="rId73">
        <w:r>
          <w:rPr>
            <w:rStyle w:val="Hyperlink"/>
          </w:rPr>
          <w:t xml:space="preserve">https://console-openshift-console.apps.interopera.jep.gov.co/k8s/cluster/projects</w:t>
        </w:r>
      </w:hyperlink>
      <w:r>
        <w:t xml:space="preserve">.</w:t>
      </w:r>
    </w:p>
    <w:p>
      <w:pPr>
        <w:numPr>
          <w:ilvl w:val="0"/>
          <w:numId w:val="1035"/>
        </w:numPr>
        <w:pStyle w:val="Compact"/>
      </w:pPr>
      <w:r>
        <w:rPr>
          <w:bCs/>
          <w:b/>
        </w:rPr>
        <w:t xml:space="preserve">VPN:</w:t>
      </w:r>
      <w:r>
        <w:t xml:space="preserve"> </w:t>
      </w:r>
      <w:r>
        <w:t xml:space="preserve">Gateway Remoto: 190.144.149.224.</w:t>
      </w:r>
    </w:p>
    <w:p>
      <w:pPr>
        <w:numPr>
          <w:ilvl w:val="0"/>
          <w:numId w:val="1035"/>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35"/>
        </w:numPr>
        <w:pStyle w:val="Compact"/>
      </w:pPr>
      <w:r>
        <w:rPr>
          <w:bCs/>
          <w:b/>
        </w:rPr>
        <w:t xml:space="preserve">Entorno de Despliegue:</w:t>
      </w:r>
      <w:r>
        <w:t xml:space="preserve"> </w:t>
      </w:r>
      <w:r>
        <w:t xml:space="preserve">desarrollo-sg</w:t>
      </w:r>
    </w:p>
    <w:p>
      <w:pPr>
        <w:numPr>
          <w:ilvl w:val="0"/>
          <w:numId w:val="1035"/>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36"/>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36"/>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37"/>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37"/>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37"/>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74"/>
    <w:bookmarkEnd w:id="75"/>
    <w:bookmarkEnd w:id="76"/>
    <w:bookmarkStart w:id="80"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78" name="Picture"/>
            <a:graphic>
              <a:graphicData uri="http://schemas.openxmlformats.org/drawingml/2006/picture">
                <pic:pic>
                  <pic:nvPicPr>
                    <pic:cNvPr descr="images/05.REQR.1n.3n.PlantillaCasodeUso.png" id="79" name="Picture"/>
                    <pic:cNvPicPr>
                      <a:picLocks noChangeArrowheads="1" noChangeAspect="1"/>
                    </pic:cNvPicPr>
                  </pic:nvPicPr>
                  <pic:blipFill>
                    <a:blip r:embed="rId77"/>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0"/>
    <w:bookmarkStart w:id="85"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1" w:name="sec:elementos-2"/>
    <w:p>
      <w:pPr>
        <w:pStyle w:val="Heading3"/>
      </w:pPr>
      <w:r>
        <w:t xml:space="preserve">Elementos</w:t>
      </w:r>
    </w:p>
    <w:p>
      <w:pPr>
        <w:pStyle w:val="FirstParagraph"/>
      </w:pPr>
      <w:r>
        <w:t xml:space="preserve">Elegir y describir los elementos de la actual integración.</w:t>
      </w:r>
    </w:p>
    <w:p>
      <w:pPr>
        <w:numPr>
          <w:ilvl w:val="0"/>
          <w:numId w:val="1038"/>
        </w:numPr>
        <w:pStyle w:val="Compact"/>
      </w:pPr>
      <w:r>
        <w:t xml:space="preserve">☐ App consumidora (A)</w:t>
      </w:r>
    </w:p>
    <w:p>
      <w:pPr>
        <w:numPr>
          <w:ilvl w:val="0"/>
          <w:numId w:val="1038"/>
        </w:numPr>
        <w:pStyle w:val="Compact"/>
      </w:pPr>
      <w:r>
        <w:t xml:space="preserve">☐ Mensaje</w:t>
      </w:r>
    </w:p>
    <w:p>
      <w:pPr>
        <w:numPr>
          <w:ilvl w:val="0"/>
          <w:numId w:val="1038"/>
        </w:numPr>
        <w:pStyle w:val="Compact"/>
      </w:pPr>
      <w:r>
        <w:t xml:space="preserve">☐ Canal</w:t>
      </w:r>
    </w:p>
    <w:p>
      <w:pPr>
        <w:numPr>
          <w:ilvl w:val="0"/>
          <w:numId w:val="1038"/>
        </w:numPr>
        <w:pStyle w:val="Compact"/>
      </w:pPr>
      <w:r>
        <w:t xml:space="preserve">☐ Ruteo</w:t>
      </w:r>
    </w:p>
    <w:p>
      <w:pPr>
        <w:numPr>
          <w:ilvl w:val="0"/>
          <w:numId w:val="1038"/>
        </w:numPr>
        <w:pStyle w:val="Compact"/>
      </w:pPr>
      <w:r>
        <w:t xml:space="preserve">☐ Traducción</w:t>
      </w:r>
    </w:p>
    <w:p>
      <w:pPr>
        <w:numPr>
          <w:ilvl w:val="0"/>
          <w:numId w:val="1038"/>
        </w:numPr>
        <w:pStyle w:val="Compact"/>
      </w:pPr>
      <w:r>
        <w:t xml:space="preserve">☐ App proveedora (B)</w:t>
      </w:r>
    </w:p>
    <w:p>
      <w:pPr>
        <w:numPr>
          <w:ilvl w:val="0"/>
          <w:numId w:val="1038"/>
        </w:numPr>
        <w:pStyle w:val="Compact"/>
      </w:pPr>
      <w:r>
        <w:t xml:space="preserve">☐ Monitoreo</w:t>
      </w:r>
    </w:p>
    <w:bookmarkEnd w:id="81"/>
    <w:bookmarkStart w:id="82" w:name="sec:diseño-2"/>
    <w:p>
      <w:pPr>
        <w:pStyle w:val="Heading3"/>
      </w:pPr>
      <w:r>
        <w:t xml:space="preserve">Diseño</w:t>
      </w:r>
    </w:p>
    <w:p>
      <w:pPr>
        <w:pStyle w:val="FirstParagraph"/>
      </w:pPr>
      <w:r>
        <w:t xml:space="preserve">Message Construct | Message Routing | Message Transformation | Messaging Endpoints | Messaging Channels | …</w:t>
      </w:r>
    </w:p>
    <w:bookmarkEnd w:id="82"/>
    <w:bookmarkStart w:id="83" w:name="sec:matriz-de-interoperabilidad-2"/>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3"/>
    <w:bookmarkStart w:id="84" w:name="sec:pruebas-realizables-2"/>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84"/>
    <w:bookmarkEnd w:id="85"/>
    <w:bookmarkEnd w:id="86"/>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77" Target="media/rId77.pn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hyperlink" Id="rId73"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73"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1.c6f775d - clean - Wed, 11 Dec 2024 15:20:23 -0500</dc:creator>
  <dc:language>en</dc:language>
  <dc:subject>Implementación Proyecto</dc:subject>
  <cp:keywords>Integración, Interoperabilidad, JEP, Softgic</cp:keywords>
  <dcterms:created xsi:type="dcterms:W3CDTF">2024-12-11T20:24:31Z</dcterms:created>
  <dcterms:modified xsi:type="dcterms:W3CDTF">2024-12-11T20:24:31Z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