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91.png" ContentType="image/png"/>
  <Override PartName="/word/media/rId53.png" ContentType="image/png"/>
  <Override PartName="/word/media/rId8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1.c758d05</w:t>
      </w:r>
      <w:r>
        <w:t xml:space="preserve"> </w:t>
      </w:r>
      <w:r>
        <w:t xml:space="preserve">-</w:t>
      </w:r>
      <w:r>
        <w:t xml:space="preserve"> </w:t>
      </w:r>
      <w:r>
        <w:t xml:space="preserve">clean</w:t>
      </w:r>
      <w:r>
        <w:t xml:space="preserve"> </w:t>
      </w:r>
      <w:r>
        <w:t xml:space="preserve">-</w:t>
      </w:r>
      <w:r>
        <w:t xml:space="preserve"> </w:t>
      </w:r>
      <w:r>
        <w:t xml:space="preserve">Mon,</w:t>
      </w:r>
      <w:r>
        <w:t xml:space="preserve"> </w:t>
      </w:r>
      <w:r>
        <w:t xml:space="preserve">9</w:t>
      </w:r>
      <w:r>
        <w:t xml:space="preserve"> </w:t>
      </w:r>
      <w:r>
        <w:t xml:space="preserve">Dec</w:t>
      </w:r>
      <w:r>
        <w:t xml:space="preserve"> </w:t>
      </w:r>
      <w:r>
        <w:t xml:space="preserve">2024</w:t>
      </w:r>
      <w:r>
        <w:t xml:space="preserve"> </w:t>
      </w:r>
      <w:r>
        <w:t xml:space="preserve">16:39:41</w:t>
      </w:r>
      <w:r>
        <w:t xml:space="preserve"> </w:t>
      </w:r>
      <w:r>
        <w:t xml:space="preserve">-0500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1.c758d05 - clean - Mon, 9 Dec 2024 16:39:41 -0500</w:t>
      </w:r>
    </w:p>
    <w:p>
      <w:pPr>
        <w:pStyle w:val="BodyText"/>
      </w:pPr>
      <w:r>
        <w:t xml:space="preserve">Versiones Anteriores</w:t>
      </w:r>
    </w:p>
    <w:p>
      <w:pPr>
        <w:pStyle w:val="BodyText"/>
      </w:pPr>
      <w:r>
        <w:t xml:space="preserve">1.5511695 - envvar.2 - Mon, 9 Dec 2024 16:02:05 -0500</w:t>
      </w:r>
    </w:p>
    <w:p>
      <w:pPr>
        <w:pStyle w:val="BodyText"/>
      </w:pPr>
      <w:r>
        <w:t xml:space="preserve">1.240f698 - Compilación para entrega - Mon, 9 Dec 2024 20:56:06 +0000</w:t>
      </w:r>
    </w:p>
    <w:p>
      <w:pPr>
        <w:pStyle w:val="BodyText"/>
      </w:pPr>
      <w:r>
        <w:t xml:space="preserve">1.8fc6f24 - envvar - Mon, 9 Dec 2024 15:53:50 -0500</w:t>
      </w:r>
    </w:p>
    <w:p>
      <w:pPr>
        <w:pStyle w:val="BodyText"/>
      </w:pPr>
      <w:r>
        <w:t xml:space="preserve">1.b7514ba - Compilación para entrega - Mon, 9 Dec 2024 17:32:27 +0000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83" w:name="X9eaf8f9e5aaaec9efd1b932dd65c6a451e58315"/>
    <w:p>
      <w:pPr>
        <w:pStyle w:val="Heading1"/>
      </w:pPr>
      <w:r>
        <w:t xml:space="preserve">Modelo de Requerimientos de Interoperabilidad Proyecto JEP</w:t>
      </w:r>
    </w:p>
    <w:bookmarkStart w:id="52" w:name="Xa2b07fb09ad58368ef6d8e49c2f8e02e2b0bd23"/>
    <w:p>
      <w:pPr>
        <w:pStyle w:val="Heading2"/>
      </w:pPr>
      <w:r>
        <w:t xml:space="preserve">Requerimiento Integración con Sistema Conti x Plani (REQR3)</w:t>
      </w:r>
    </w:p>
    <w:p>
      <w:pPr>
        <w:pStyle w:val="BlockText"/>
      </w:pPr>
      <w:r>
        <w:t xml:space="preserve">Modelo de Requerimientos Proyecto Integración JEP, 2024. Softgic. Requerimientos, condiciones técnicas, solución del proyecto Integración JEP, 2024. Versión 0.1.41</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725125"/>
            <wp:effectExtent b="0" l="0" r="0" t="0"/>
            <wp:docPr descr="05.REQR.1n.1a. Requerimiento REQR3. Fuente: Repositorio arquitectura Integración JEP (2024)" title="" id="38" name="Picture"/>
            <a:graphic>
              <a:graphicData uri="http://schemas.openxmlformats.org/drawingml/2006/picture">
                <pic:pic>
                  <pic:nvPicPr>
                    <pic:cNvPr descr="images/05.REQR.1n.1a.RequerimientoREQR3.png" id="39" name="Picture"/>
                    <pic:cNvPicPr>
                      <a:picLocks noChangeArrowheads="1" noChangeAspect="1"/>
                    </pic:cNvPicPr>
                  </pic:nvPicPr>
                  <pic:blipFill>
                    <a:blip r:embed="rId37"/>
                    <a:stretch>
                      <a:fillRect/>
                    </a:stretch>
                  </pic:blipFill>
                  <pic:spPr bwMode="auto">
                    <a:xfrm>
                      <a:off x="0" y="0"/>
                      <a:ext cx="5207000" cy="3725125"/>
                    </a:xfrm>
                    <a:prstGeom prst="rect">
                      <a:avLst/>
                    </a:prstGeom>
                    <a:noFill/>
                    <a:ln w="9525">
                      <a:noFill/>
                      <a:headEnd/>
                      <a:tailEnd/>
                    </a:ln>
                  </pic:spPr>
                </pic:pic>
              </a:graphicData>
            </a:graphic>
          </wp:inline>
        </w:drawing>
      </w:r>
    </w:p>
    <w:p>
      <w:pPr>
        <w:pStyle w:val="ImageCaption"/>
      </w:pPr>
      <w:r>
        <w:t xml:space="preserve">Figura 3: 05.REQR.1n.1a. Requerimiento REQR3.</w:t>
      </w:r>
      <w:r>
        <w:t xml:space="preserve"> </w:t>
      </w:r>
      <w:r>
        <w:rPr>
          <w:iCs/>
          <w:i/>
        </w:rPr>
        <w:t xml:space="preserve">Fuente: Repositorio arquitectura Integración JEP (2024)</w:t>
      </w:r>
    </w:p>
    <w:bookmarkStart w:id="40" w:name="sec:problema-1"/>
    <w:p>
      <w:pPr>
        <w:pStyle w:val="Heading3"/>
      </w:pPr>
      <w:r>
        <w:t xml:space="preserve">Problema 1</w:t>
      </w:r>
    </w:p>
    <w:bookmarkEnd w:id="40"/>
    <w:bookmarkStart w:id="41" w:name="sec:objetivo-contractual"/>
    <w:p>
      <w:pPr>
        <w:pStyle w:val="Heading3"/>
      </w:pPr>
      <w:r>
        <w:t xml:space="preserve">Objetivo: Contractual</w:t>
      </w:r>
    </w:p>
    <w:p>
      <w:pPr>
        <w:pStyle w:val="FirstParagraph"/>
      </w:pPr>
      <w:r>
        <w:t xml:space="preserve">El requerimiento tiene carácter contractual.</w:t>
      </w:r>
    </w:p>
    <w:bookmarkEnd w:id="41"/>
    <w:bookmarkStart w:id="42"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42"/>
    <w:bookmarkStart w:id="43" w:name="sec:restricción-levantamiento"/>
    <w:p>
      <w:pPr>
        <w:pStyle w:val="Heading3"/>
      </w:pPr>
      <w:r>
        <w:t xml:space="preserve">Restricción: Levantamiento</w:t>
      </w:r>
    </w:p>
    <w:p>
      <w:pPr>
        <w:pStyle w:val="FirstParagraph"/>
      </w:pPr>
      <w:r>
        <w:t xml:space="preserve">El requerimiento está condicionado por la completitud del levantamiento.</w:t>
      </w:r>
    </w:p>
    <w:bookmarkEnd w:id="43"/>
    <w:bookmarkStart w:id="45"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44" w:name="X8ae3bc333c0d418fc477fe355d0aabfb3b51768"/>
    <w:p>
      <w:pPr>
        <w:pStyle w:val="Heading4"/>
      </w:pPr>
      <w:r>
        <w:t xml:space="preserve">Índice de la documentación (casos de uso)</w:t>
      </w:r>
    </w:p>
    <w:p>
      <w:pPr>
        <w:numPr>
          <w:ilvl w:val="0"/>
          <w:numId w:val="1017"/>
        </w:numPr>
        <w:pStyle w:val="Compact"/>
      </w:pPr>
      <w:r>
        <w:t xml:space="preserve">Integración. Ingreso a Conti</w:t>
      </w:r>
    </w:p>
    <w:p>
      <w:pPr>
        <w:numPr>
          <w:ilvl w:val="0"/>
          <w:numId w:val="1017"/>
        </w:numPr>
        <w:pStyle w:val="Compact"/>
      </w:pPr>
      <w:r>
        <w:t xml:space="preserve">Integración. Consulta ítem de Conti</w:t>
      </w:r>
    </w:p>
    <w:p>
      <w:pPr>
        <w:numPr>
          <w:ilvl w:val="0"/>
          <w:numId w:val="1017"/>
        </w:numPr>
        <w:pStyle w:val="Compact"/>
      </w:pPr>
      <w:r>
        <w:t xml:space="preserve">Integración. Radicar ítem</w:t>
      </w:r>
    </w:p>
    <w:p>
      <w:pPr>
        <w:numPr>
          <w:ilvl w:val="0"/>
          <w:numId w:val="1017"/>
        </w:numPr>
        <w:pStyle w:val="Compact"/>
      </w:pPr>
      <w:r>
        <w:t xml:space="preserve">Integración. Generación de documentos</w:t>
      </w:r>
    </w:p>
    <w:bookmarkEnd w:id="44"/>
    <w:bookmarkEnd w:id="45"/>
    <w:bookmarkStart w:id="46" w:name="sec:solución-1"/>
    <w:p>
      <w:pPr>
        <w:pStyle w:val="Heading3"/>
      </w:pPr>
      <w:r>
        <w:t xml:space="preserve">Solución 1</w:t>
      </w:r>
    </w:p>
    <w:bookmarkEnd w:id="46"/>
    <w:bookmarkStart w:id="47" w:name="sec:sint1.-integración.-ingreso-a-conti"/>
    <w:p>
      <w:pPr>
        <w:pStyle w:val="Heading3"/>
      </w:pPr>
      <w:r>
        <w:t xml:space="preserve">SINT1. Integración. Ingreso a Conti</w:t>
      </w:r>
    </w:p>
    <w:p>
      <w:pPr>
        <w:pStyle w:val="FirstParagraph"/>
      </w:pPr>
      <w:r>
        <w:t xml:space="preserve">Tareas de desarrollo</w:t>
      </w:r>
    </w:p>
    <w:p>
      <w:pPr>
        <w:numPr>
          <w:ilvl w:val="0"/>
          <w:numId w:val="1018"/>
        </w:numPr>
        <w:pStyle w:val="Compact"/>
      </w:pPr>
      <w:r>
        <w:t xml:space="preserve">Interoperabilidad IOP1. Transporte / Entrega Consulta Negocio</w:t>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7"/>
    <w:bookmarkStart w:id="48" w:name="Xbe26124c023d17e027f2bcd6b18bc48a334368f"/>
    <w:p>
      <w:pPr>
        <w:pStyle w:val="Heading3"/>
      </w:pPr>
      <w:r>
        <w:t xml:space="preserve">SINT2. Integración. Consulta ítem de Conti</w:t>
      </w:r>
    </w:p>
    <w:p>
      <w:pPr>
        <w:pStyle w:val="FirstParagraph"/>
      </w:pPr>
      <w:r>
        <w:t xml:space="preserve">Tareas de desarrollo</w:t>
      </w:r>
    </w:p>
    <w:p>
      <w:pPr>
        <w:numPr>
          <w:ilvl w:val="0"/>
          <w:numId w:val="1019"/>
        </w:numPr>
        <w:pStyle w:val="Compact"/>
      </w:pPr>
      <w:r>
        <w:t xml:space="preserve">Interoperabilidad IOP1. Transporte / Entrega Consulta Negocio</w:t>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8"/>
    <w:bookmarkStart w:id="49" w:name="sec:sint3.-integración.-radicar-ítem"/>
    <w:p>
      <w:pPr>
        <w:pStyle w:val="Heading3"/>
      </w:pPr>
      <w:r>
        <w:t xml:space="preserve">SINT3. Integración. Radicar ítem</w:t>
      </w:r>
    </w:p>
    <w:p>
      <w:pPr>
        <w:pStyle w:val="FirstParagraph"/>
      </w:pPr>
      <w:r>
        <w:t xml:space="preserve">Tareas de desarrollo</w:t>
      </w:r>
    </w:p>
    <w:p>
      <w:pPr>
        <w:numPr>
          <w:ilvl w:val="0"/>
          <w:numId w:val="1020"/>
        </w:numPr>
        <w:pStyle w:val="Compact"/>
      </w:pPr>
      <w:r>
        <w:t xml:space="preserve">Interoperabilidad IOP1. Transporte / Entrega Consulta Negocio</w:t>
      </w:r>
    </w:p>
    <w:p>
      <w:pPr>
        <w:numPr>
          <w:ilvl w:val="0"/>
          <w:numId w:val="1020"/>
        </w:numPr>
        <w:pStyle w:val="Compact"/>
      </w:pPr>
      <w:r>
        <w:t xml:space="preserve">Modelo de datos (XML, RBDMS, …)</w:t>
      </w:r>
    </w:p>
    <w:p>
      <w:pPr>
        <w:numPr>
          <w:ilvl w:val="0"/>
          <w:numId w:val="1020"/>
        </w:numPr>
        <w:pStyle w:val="Compact"/>
      </w:pPr>
      <w:r>
        <w:t xml:space="preserve">Esquema de datos (XSD, DTD, JSON-E…)</w:t>
      </w:r>
    </w:p>
    <w:p>
      <w:pPr>
        <w:numPr>
          <w:ilvl w:val="0"/>
          <w:numId w:val="1020"/>
        </w:numPr>
        <w:pStyle w:val="Compact"/>
      </w:pPr>
      <w:r>
        <w:t xml:space="preserve">Contratos de interoperabilidad (WSDL, API…)</w:t>
      </w:r>
    </w:p>
    <w:p>
      <w:pPr>
        <w:numPr>
          <w:ilvl w:val="0"/>
          <w:numId w:val="1020"/>
        </w:numPr>
        <w:pStyle w:val="Compact"/>
      </w:pPr>
      <w:r>
        <w:t xml:space="preserve">Mensajes petición IN (API, XML…)</w:t>
      </w:r>
    </w:p>
    <w:p>
      <w:pPr>
        <w:numPr>
          <w:ilvl w:val="0"/>
          <w:numId w:val="1020"/>
        </w:numPr>
        <w:pStyle w:val="Compact"/>
      </w:pPr>
      <w:r>
        <w:t xml:space="preserve">Mensajes respuesta OUT (API, XML…)</w:t>
      </w:r>
    </w:p>
    <w:p>
      <w:pPr>
        <w:numPr>
          <w:ilvl w:val="0"/>
          <w:numId w:val="1020"/>
        </w:numPr>
        <w:pStyle w:val="Compact"/>
      </w:pPr>
      <w:r>
        <w:t xml:space="preserve">Mensajes excepción (API, XML…)</w:t>
      </w:r>
    </w:p>
    <w:p>
      <w:pPr>
        <w:numPr>
          <w:ilvl w:val="0"/>
          <w:numId w:val="1020"/>
        </w:numPr>
        <w:pStyle w:val="Compact"/>
      </w:pPr>
      <w:r>
        <w:t xml:space="preserve">Transporte (REST, SOAP)</w:t>
      </w:r>
    </w:p>
    <w:p>
      <w:pPr>
        <w:numPr>
          <w:ilvl w:val="0"/>
          <w:numId w:val="1020"/>
        </w:numPr>
        <w:pStyle w:val="Compact"/>
      </w:pPr>
      <w:r>
        <w:t xml:space="preserve">Función lógica (JEE, …)</w:t>
      </w:r>
    </w:p>
    <w:p>
      <w:pPr>
        <w:numPr>
          <w:ilvl w:val="0"/>
          <w:numId w:val="1020"/>
        </w:numPr>
        <w:pStyle w:val="Compact"/>
      </w:pPr>
      <w:r>
        <w:t xml:space="preserve">Registro y envío de actividad</w:t>
      </w:r>
    </w:p>
    <w:bookmarkEnd w:id="49"/>
    <w:bookmarkStart w:id="50" w:name="X51574c9b55c013b9aea0cea4b5c4cce36b5145e"/>
    <w:p>
      <w:pPr>
        <w:pStyle w:val="Heading3"/>
      </w:pPr>
      <w:r>
        <w:t xml:space="preserve">SINT4. Integración. Generación de documentos</w:t>
      </w:r>
    </w:p>
    <w:p>
      <w:pPr>
        <w:pStyle w:val="FirstParagraph"/>
      </w:pPr>
      <w:r>
        <w:t xml:space="preserve">Tareas de desarrollo</w:t>
      </w:r>
    </w:p>
    <w:p>
      <w:pPr>
        <w:numPr>
          <w:ilvl w:val="0"/>
          <w:numId w:val="1021"/>
        </w:numPr>
        <w:pStyle w:val="Compact"/>
      </w:pPr>
      <w:r>
        <w:t xml:space="preserve">Interoperabilidad IOP1. Transporte / Entrega Consulta Negocio</w:t>
      </w:r>
    </w:p>
    <w:p>
      <w:pPr>
        <w:numPr>
          <w:ilvl w:val="0"/>
          <w:numId w:val="1021"/>
        </w:numPr>
        <w:pStyle w:val="Compact"/>
      </w:pPr>
      <w:r>
        <w:t xml:space="preserve">Modelo de datos (XML, RBDMS, …)</w:t>
      </w:r>
    </w:p>
    <w:p>
      <w:pPr>
        <w:numPr>
          <w:ilvl w:val="0"/>
          <w:numId w:val="1021"/>
        </w:numPr>
        <w:pStyle w:val="Compact"/>
      </w:pPr>
      <w:r>
        <w:t xml:space="preserve">Esquema de datos (XSD, DTD, JSON-E…)</w:t>
      </w:r>
    </w:p>
    <w:p>
      <w:pPr>
        <w:numPr>
          <w:ilvl w:val="0"/>
          <w:numId w:val="1021"/>
        </w:numPr>
        <w:pStyle w:val="Compact"/>
      </w:pPr>
      <w:r>
        <w:t xml:space="preserve">Contratos de interoperabilidad (WSDL, API…)</w:t>
      </w:r>
    </w:p>
    <w:p>
      <w:pPr>
        <w:numPr>
          <w:ilvl w:val="0"/>
          <w:numId w:val="1021"/>
        </w:numPr>
        <w:pStyle w:val="Compact"/>
      </w:pPr>
      <w:r>
        <w:t xml:space="preserve">Mensajes petición IN (API, XML…)</w:t>
      </w:r>
    </w:p>
    <w:p>
      <w:pPr>
        <w:numPr>
          <w:ilvl w:val="0"/>
          <w:numId w:val="1021"/>
        </w:numPr>
        <w:pStyle w:val="Compact"/>
      </w:pPr>
      <w:r>
        <w:t xml:space="preserve">Mensajes respuesta OUT (API, XML…)</w:t>
      </w:r>
    </w:p>
    <w:p>
      <w:pPr>
        <w:numPr>
          <w:ilvl w:val="0"/>
          <w:numId w:val="1021"/>
        </w:numPr>
        <w:pStyle w:val="Compact"/>
      </w:pPr>
      <w:r>
        <w:t xml:space="preserve">Mensajes excepción (API, XML…)</w:t>
      </w:r>
    </w:p>
    <w:p>
      <w:pPr>
        <w:numPr>
          <w:ilvl w:val="0"/>
          <w:numId w:val="1021"/>
        </w:numPr>
        <w:pStyle w:val="Compact"/>
      </w:pPr>
      <w:r>
        <w:t xml:space="preserve">Transporte (REST, SOAP)</w:t>
      </w:r>
    </w:p>
    <w:p>
      <w:pPr>
        <w:numPr>
          <w:ilvl w:val="0"/>
          <w:numId w:val="1021"/>
        </w:numPr>
        <w:pStyle w:val="Compact"/>
      </w:pPr>
      <w:r>
        <w:t xml:space="preserve">Función lógica (JEE, …)</w:t>
      </w:r>
    </w:p>
    <w:p>
      <w:pPr>
        <w:numPr>
          <w:ilvl w:val="0"/>
          <w:numId w:val="1021"/>
        </w:numPr>
        <w:pStyle w:val="Compact"/>
      </w:pPr>
      <w:r>
        <w:t xml:space="preserve">Registro y envío de actividad</w:t>
      </w:r>
    </w:p>
    <w:bookmarkEnd w:id="50"/>
    <w:bookmarkStart w:id="51" w:name="sec:plan-producción-scrum-y-gerencia"/>
    <w:p>
      <w:pPr>
        <w:pStyle w:val="Heading3"/>
      </w:pPr>
      <w:r>
        <w:t xml:space="preserve">Plan Producción: Scrum y Gerencia</w:t>
      </w:r>
    </w:p>
    <w:bookmarkEnd w:id="51"/>
    <w:bookmarkEnd w:id="52"/>
    <w:bookmarkStart w:id="82" w:name="Xeef7f4953f9e80bf96c5ff81147b82727aa0c3e"/>
    <w:p>
      <w:pPr>
        <w:pStyle w:val="Heading2"/>
      </w:pPr>
      <w:r>
        <w:t xml:space="preserve">Especificación CU Requerimiento REQR3</w:t>
      </w:r>
    </w:p>
    <w:p>
      <w:pPr>
        <w:pStyle w:val="BlockText"/>
      </w:pPr>
      <w:r>
        <w:t xml:space="preserve">Casos de Uso Proyecto Integración JEP, 2024. Softgic. Especificaciones de integraciones (CU), condiciones de interoperabilidad, pruebas técnicas, entregables. Versión 0.1.96</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594974" cy="4762500"/>
            <wp:effectExtent b="0" l="0" r="0" t="0"/>
            <wp:docPr descr="05.REQR.2n.3n. Casos de Uso REQR3. Fuente: Repositorio arquitectura Integración JEP (2024)" title="" id="54" name="Picture"/>
            <a:graphic>
              <a:graphicData uri="http://schemas.openxmlformats.org/drawingml/2006/picture">
                <pic:pic>
                  <pic:nvPicPr>
                    <pic:cNvPr descr="images/05.REQR.2n.3n.CasosdeUsoREQR3.png" id="55" name="Picture"/>
                    <pic:cNvPicPr>
                      <a:picLocks noChangeArrowheads="1" noChangeAspect="1"/>
                    </pic:cNvPicPr>
                  </pic:nvPicPr>
                  <pic:blipFill>
                    <a:blip r:embed="rId53"/>
                    <a:stretch>
                      <a:fillRect/>
                    </a:stretch>
                  </pic:blipFill>
                  <pic:spPr bwMode="auto">
                    <a:xfrm>
                      <a:off x="0" y="0"/>
                      <a:ext cx="4594974" cy="4762500"/>
                    </a:xfrm>
                    <a:prstGeom prst="rect">
                      <a:avLst/>
                    </a:prstGeom>
                    <a:noFill/>
                    <a:ln w="9525">
                      <a:noFill/>
                      <a:headEnd/>
                      <a:tailEnd/>
                    </a:ln>
                  </pic:spPr>
                </pic:pic>
              </a:graphicData>
            </a:graphic>
          </wp:inline>
        </w:drawing>
      </w:r>
    </w:p>
    <w:p>
      <w:pPr>
        <w:pStyle w:val="ImageCaption"/>
      </w:pPr>
      <w:r>
        <w:t xml:space="preserve">Figura 4: 05.REQR.2n.3n. Casos de Uso REQR3.</w:t>
      </w:r>
      <w:r>
        <w:t xml:space="preserve"> </w:t>
      </w:r>
      <w:r>
        <w:rPr>
          <w:iCs/>
          <w:i/>
        </w:rPr>
        <w:t xml:space="preserve">Fuente: Repositorio arquitectura Integración JEP (2024)</w:t>
      </w:r>
    </w:p>
    <w:bookmarkStart w:id="57" w:name="X8e0d333cac90fcd28c87d95ff6f484edc5a278c"/>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56" w:name="Xe2a2e48a481680c1d6185fe541c11ce4fece4bc"/>
    <w:p>
      <w:pPr>
        <w:pStyle w:val="Heading4"/>
      </w:pPr>
      <w:r>
        <w:t xml:space="preserve">Índice de la documentación (casos de uso)</w:t>
      </w:r>
    </w:p>
    <w:p>
      <w:pPr>
        <w:numPr>
          <w:ilvl w:val="0"/>
          <w:numId w:val="1022"/>
        </w:numPr>
        <w:pStyle w:val="Compact"/>
      </w:pPr>
      <w:r>
        <w:t xml:space="preserve">Integración. Ingreso a Conti</w:t>
      </w:r>
    </w:p>
    <w:p>
      <w:pPr>
        <w:numPr>
          <w:ilvl w:val="0"/>
          <w:numId w:val="1022"/>
        </w:numPr>
        <w:pStyle w:val="Compact"/>
      </w:pPr>
      <w:r>
        <w:t xml:space="preserve">Integración. Consulta ítem de Conti</w:t>
      </w:r>
    </w:p>
    <w:p>
      <w:pPr>
        <w:numPr>
          <w:ilvl w:val="0"/>
          <w:numId w:val="1022"/>
        </w:numPr>
        <w:pStyle w:val="Compact"/>
      </w:pPr>
      <w:r>
        <w:t xml:space="preserve">Integración. Radicar ítem</w:t>
      </w:r>
    </w:p>
    <w:p>
      <w:pPr>
        <w:numPr>
          <w:ilvl w:val="0"/>
          <w:numId w:val="1022"/>
        </w:numPr>
        <w:pStyle w:val="Compact"/>
      </w:pPr>
      <w:r>
        <w:t xml:space="preserve">Integración. Generación de documentos</w:t>
      </w:r>
    </w:p>
    <w:bookmarkEnd w:id="56"/>
    <w:bookmarkEnd w:id="57"/>
    <w:bookmarkStart w:id="58" w:name="Xa7dcda0a87abfd31b399cf22285a3b618b01793"/>
    <w:p>
      <w:pPr>
        <w:pStyle w:val="Heading3"/>
      </w:pPr>
      <w:r>
        <w:t xml:space="preserve">HU.SINT1. Integración. Ingreso a Conti</w:t>
      </w:r>
    </w:p>
    <w:bookmarkEnd w:id="58"/>
    <w:bookmarkStart w:id="63" w:name="sec:especificación-de-integración"/>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59" w:name="sec:elementos"/>
    <w:p>
      <w:pPr>
        <w:pStyle w:val="Heading4"/>
      </w:pPr>
      <w:r>
        <w:t xml:space="preserve">Elementos</w:t>
      </w:r>
    </w:p>
    <w:p>
      <w:pPr>
        <w:pStyle w:val="FirstParagraph"/>
      </w:pPr>
      <w:r>
        <w:t xml:space="preserve">Elegir y describir los elementos de la actual integración.</w:t>
      </w:r>
    </w:p>
    <w:p>
      <w:pPr>
        <w:numPr>
          <w:ilvl w:val="0"/>
          <w:numId w:val="1023"/>
        </w:numPr>
        <w:pStyle w:val="Compact"/>
      </w:pPr>
      <w:r>
        <w:t xml:space="preserve">☒ App consumidora (A)</w:t>
      </w:r>
    </w:p>
    <w:p>
      <w:pPr>
        <w:numPr>
          <w:ilvl w:val="0"/>
          <w:numId w:val="1023"/>
        </w:numPr>
        <w:pStyle w:val="Compact"/>
      </w:pPr>
      <w:r>
        <w:t xml:space="preserve">☒ Mensaje</w:t>
      </w:r>
    </w:p>
    <w:p>
      <w:pPr>
        <w:numPr>
          <w:ilvl w:val="0"/>
          <w:numId w:val="1023"/>
        </w:numPr>
        <w:pStyle w:val="Compact"/>
      </w:pPr>
      <w:r>
        <w:t xml:space="preserve">☐ Canal</w:t>
      </w:r>
    </w:p>
    <w:p>
      <w:pPr>
        <w:numPr>
          <w:ilvl w:val="0"/>
          <w:numId w:val="1023"/>
        </w:numPr>
        <w:pStyle w:val="Compact"/>
      </w:pPr>
      <w:r>
        <w:t xml:space="preserve">☐ Ruteo</w:t>
      </w:r>
    </w:p>
    <w:p>
      <w:pPr>
        <w:numPr>
          <w:ilvl w:val="0"/>
          <w:numId w:val="1023"/>
        </w:numPr>
        <w:pStyle w:val="Compact"/>
      </w:pPr>
      <w:r>
        <w:t xml:space="preserve">☐ Traducción</w:t>
      </w:r>
    </w:p>
    <w:p>
      <w:pPr>
        <w:numPr>
          <w:ilvl w:val="0"/>
          <w:numId w:val="1023"/>
        </w:numPr>
        <w:pStyle w:val="Compact"/>
      </w:pPr>
      <w:r>
        <w:t xml:space="preserve">☒ App proveedora (B)</w:t>
      </w:r>
    </w:p>
    <w:p>
      <w:pPr>
        <w:numPr>
          <w:ilvl w:val="0"/>
          <w:numId w:val="1023"/>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4"/>
        </w:numPr>
        <w:pStyle w:val="Compact"/>
      </w:pPr>
      <w:r>
        <w:t xml:space="preserve">Tipo: TXT | SOAP | XML | JSN | YML | BASE64</w:t>
      </w:r>
    </w:p>
    <w:p>
      <w:pPr>
        <w:numPr>
          <w:ilvl w:val="0"/>
          <w:numId w:val="1024"/>
        </w:numPr>
        <w:pStyle w:val="Compact"/>
      </w:pPr>
      <w:r>
        <w:t xml:space="preserve">Contenido: Usuario o identidad Conti</w:t>
      </w:r>
    </w:p>
    <w:p>
      <w:pPr>
        <w:pStyle w:val="FirstParagraph"/>
      </w:pPr>
      <w:r>
        <w:t xml:space="preserve">Mensaje respuesta: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Estado de solicitud de ingreso a Conti</w:t>
      </w:r>
    </w:p>
    <w:p>
      <w:pPr>
        <w:pStyle w:val="FirstParagraph"/>
      </w:pPr>
      <w:r>
        <w:t xml:space="preserve">Mensaje excepción: Rpta. Ingreso a Conti</w:t>
      </w:r>
    </w:p>
    <w:p>
      <w:pPr>
        <w:numPr>
          <w:ilvl w:val="0"/>
          <w:numId w:val="1026"/>
        </w:numPr>
        <w:pStyle w:val="Compact"/>
      </w:pPr>
      <w:r>
        <w:t xml:space="preserve">Tipo: TXT | SOAP | XML | JSN | YML | BASE64</w:t>
      </w:r>
    </w:p>
    <w:p>
      <w:pPr>
        <w:numPr>
          <w:ilvl w:val="0"/>
          <w:numId w:val="1026"/>
        </w:numPr>
        <w:pStyle w:val="Compact"/>
      </w:pPr>
      <w:r>
        <w:t xml:space="preserve">Contenido: Código de respuesta: HTTP 500 | TXT | Numeración (entero)</w:t>
      </w:r>
    </w:p>
    <w:bookmarkEnd w:id="59"/>
    <w:bookmarkStart w:id="60"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0"/>
    <w:bookmarkStart w:id="61"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1"/>
    <w:bookmarkStart w:id="62"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7"/>
        </w:numPr>
        <w:pStyle w:val="Compact"/>
      </w:pPr>
      <w:r>
        <w:t xml:space="preserve">PRUB1. Consumo: la aplicación consumidora Plani no recibe una respuesta a tiempo.</w:t>
      </w:r>
    </w:p>
    <w:p>
      <w:pPr>
        <w:numPr>
          <w:ilvl w:val="0"/>
          <w:numId w:val="1027"/>
        </w:numPr>
        <w:pStyle w:val="Compact"/>
      </w:pPr>
      <w:r>
        <w:t xml:space="preserve">PRUB2. Ingreso: la aplicación proveedora Conti no provee un ingreso autorizado.</w:t>
      </w:r>
    </w:p>
    <w:bookmarkEnd w:id="62"/>
    <w:bookmarkEnd w:id="63"/>
    <w:bookmarkStart w:id="64" w:name="X7e0ecba27fe456010e03e91e15dbe4811fd4ab7"/>
    <w:p>
      <w:pPr>
        <w:pStyle w:val="Heading3"/>
      </w:pPr>
      <w:r>
        <w:t xml:space="preserve">HU.SINT2. Integración. Consulta ítem de Conti</w:t>
      </w:r>
    </w:p>
    <w:bookmarkEnd w:id="64"/>
    <w:bookmarkStart w:id="69" w:name="sec:especificación-de-integración-1"/>
    <w:p>
      <w:pPr>
        <w:pStyle w:val="Heading3"/>
      </w:pPr>
      <w:r>
        <w:t xml:space="preserve">Especificación de integración</w:t>
      </w:r>
    </w:p>
    <w:p>
      <w:pPr>
        <w:pStyle w:val="FirstParagraph"/>
      </w:pPr>
      <w:r>
        <w:t xml:space="preserve">Solicitar consulta de ítem a la aplicación Plani y obtener resultado de la consulta. La solicitud de consulta podrá realizarla con mínimo un parámetro, o la combinación de todos. Los parámetros son los siguientes:</w:t>
      </w:r>
    </w:p>
    <w:p>
      <w:pPr>
        <w:numPr>
          <w:ilvl w:val="0"/>
          <w:numId w:val="1028"/>
        </w:numPr>
        <w:pStyle w:val="Compact"/>
      </w:pPr>
      <w:r>
        <w:t xml:space="preserve">Número de ítem</w:t>
      </w:r>
    </w:p>
    <w:p>
      <w:pPr>
        <w:numPr>
          <w:ilvl w:val="0"/>
          <w:numId w:val="1028"/>
        </w:numPr>
        <w:pStyle w:val="Compact"/>
      </w:pPr>
      <w:r>
        <w:t xml:space="preserve">Fecha estimada de inicio de proceso de selección</w:t>
      </w:r>
    </w:p>
    <w:p>
      <w:pPr>
        <w:numPr>
          <w:ilvl w:val="0"/>
          <w:numId w:val="1028"/>
        </w:numPr>
        <w:pStyle w:val="Compact"/>
      </w:pPr>
      <w:r>
        <w:t xml:space="preserve">Vigencia de ejecución</w:t>
      </w:r>
    </w:p>
    <w:p>
      <w:pPr>
        <w:numPr>
          <w:ilvl w:val="0"/>
          <w:numId w:val="1028"/>
        </w:numPr>
        <w:pStyle w:val="Compact"/>
      </w:pPr>
      <w:r>
        <w:t xml:space="preserve">Fuente de los recursos</w:t>
      </w:r>
    </w:p>
    <w:p>
      <w:pPr>
        <w:numPr>
          <w:ilvl w:val="0"/>
          <w:numId w:val="1028"/>
        </w:numPr>
        <w:pStyle w:val="Compact"/>
      </w:pPr>
      <w:r>
        <w:t xml:space="preserve">Modalidad de selección Interna (manual de contratación)</w:t>
      </w:r>
    </w:p>
    <w:p>
      <w:pPr>
        <w:pStyle w:val="FirstParagraph"/>
      </w:pPr>
      <w:r>
        <w:t xml:space="preserve">Esta integración permitirá que el sistema Conti consulte al sistema Plani la información de acuerdo con los campos solicitados. Cuando la aplicación Plani ejecute la consulta enviará, esta integración enviarea de regreso a Conti la lista de ítems relacionados que ya se encuentren en estado aprobado y que correspondan a la dependencia del usuario parametrizado en Conti.</w:t>
      </w:r>
    </w:p>
    <w:bookmarkStart w:id="65" w:name="sec:elementos-1"/>
    <w:p>
      <w:pPr>
        <w:pStyle w:val="Heading4"/>
      </w:pPr>
      <w:r>
        <w:t xml:space="preserve">Elementos</w:t>
      </w:r>
    </w:p>
    <w:p>
      <w:pPr>
        <w:pStyle w:val="FirstParagraph"/>
      </w:pPr>
      <w:r>
        <w:t xml:space="preserve">Elegir y describir los elementos de la actual integración.</w:t>
      </w:r>
    </w:p>
    <w:p>
      <w:pPr>
        <w:numPr>
          <w:ilvl w:val="0"/>
          <w:numId w:val="1029"/>
        </w:numPr>
        <w:pStyle w:val="Compact"/>
      </w:pPr>
      <w:r>
        <w:t xml:space="preserve">☒ App consumidora (A)</w:t>
      </w:r>
    </w:p>
    <w:p>
      <w:pPr>
        <w:numPr>
          <w:ilvl w:val="0"/>
          <w:numId w:val="1029"/>
        </w:numPr>
        <w:pStyle w:val="Compact"/>
      </w:pPr>
      <w:r>
        <w:t xml:space="preserve">☒ Mensaje</w:t>
      </w:r>
    </w:p>
    <w:p>
      <w:pPr>
        <w:numPr>
          <w:ilvl w:val="0"/>
          <w:numId w:val="1029"/>
        </w:numPr>
        <w:pStyle w:val="Compact"/>
      </w:pPr>
      <w:r>
        <w:t xml:space="preserve">☒ Canal</w:t>
      </w:r>
    </w:p>
    <w:p>
      <w:pPr>
        <w:numPr>
          <w:ilvl w:val="0"/>
          <w:numId w:val="1029"/>
        </w:numPr>
        <w:pStyle w:val="Compact"/>
      </w:pPr>
      <w:r>
        <w:t xml:space="preserve">☐ Ruteo</w:t>
      </w:r>
    </w:p>
    <w:p>
      <w:pPr>
        <w:numPr>
          <w:ilvl w:val="0"/>
          <w:numId w:val="1029"/>
        </w:numPr>
        <w:pStyle w:val="Compact"/>
      </w:pPr>
      <w:r>
        <w:t xml:space="preserve">☒ Traducción</w:t>
      </w:r>
    </w:p>
    <w:p>
      <w:pPr>
        <w:numPr>
          <w:ilvl w:val="0"/>
          <w:numId w:val="1029"/>
        </w:numPr>
        <w:pStyle w:val="Compact"/>
      </w:pPr>
      <w:r>
        <w:t xml:space="preserve">☒ App proveedora (B)</w:t>
      </w:r>
    </w:p>
    <w:p>
      <w:pPr>
        <w:numPr>
          <w:ilvl w:val="0"/>
          <w:numId w:val="1029"/>
        </w:numPr>
        <w:pStyle w:val="Compact"/>
      </w:pPr>
      <w:r>
        <w:t xml:space="preserve">☐ Monitoreo</w:t>
      </w:r>
    </w:p>
    <w:p>
      <w:pPr>
        <w:pStyle w:val="FirstParagraph"/>
      </w:pPr>
      <w:r>
        <w:t xml:space="preserve">Aplicación consumidora A: Conti. Aplicación proveedora B: Plani</w:t>
      </w:r>
    </w:p>
    <w:p>
      <w:pPr>
        <w:pStyle w:val="BodyText"/>
      </w:pPr>
      <w:r>
        <w:t xml:space="preserve">Mensaje solicitud: (ver estándar de nombramiento) Consulta ítem</w:t>
      </w:r>
    </w:p>
    <w:p>
      <w:pPr>
        <w:numPr>
          <w:ilvl w:val="0"/>
          <w:numId w:val="1030"/>
        </w:numPr>
        <w:pStyle w:val="Compact"/>
      </w:pPr>
      <w:r>
        <w:t xml:space="preserve">Tipo: TXT | SOAP | XML | JSN | YML | BASE64</w:t>
      </w:r>
    </w:p>
    <w:p>
      <w:pPr>
        <w:numPr>
          <w:ilvl w:val="0"/>
          <w:numId w:val="1030"/>
        </w:numPr>
        <w:pStyle w:val="Compact"/>
      </w:pPr>
      <w:r>
        <w:t xml:space="preserve">Contenido: Estructura de datos consulta ítem</w:t>
      </w:r>
    </w:p>
    <w:p>
      <w:pPr>
        <w:numPr>
          <w:ilvl w:val="0"/>
          <w:numId w:val="1031"/>
        </w:numPr>
        <w:pStyle w:val="Compact"/>
      </w:pPr>
      <w:r>
        <w:t xml:space="preserve">Número de ítem</w:t>
      </w:r>
    </w:p>
    <w:p>
      <w:pPr>
        <w:numPr>
          <w:ilvl w:val="0"/>
          <w:numId w:val="1031"/>
        </w:numPr>
        <w:pStyle w:val="Compact"/>
      </w:pPr>
      <w:r>
        <w:t xml:space="preserve">Fecha estimada de inicio de proceso de selección</w:t>
      </w:r>
    </w:p>
    <w:p>
      <w:pPr>
        <w:numPr>
          <w:ilvl w:val="0"/>
          <w:numId w:val="1031"/>
        </w:numPr>
        <w:pStyle w:val="Compact"/>
      </w:pPr>
      <w:r>
        <w:t xml:space="preserve">Vigencia de ejecución</w:t>
      </w:r>
    </w:p>
    <w:p>
      <w:pPr>
        <w:numPr>
          <w:ilvl w:val="0"/>
          <w:numId w:val="1031"/>
        </w:numPr>
        <w:pStyle w:val="Compact"/>
      </w:pPr>
      <w:r>
        <w:t xml:space="preserve">Fuente de los recursos</w:t>
      </w:r>
    </w:p>
    <w:p>
      <w:pPr>
        <w:numPr>
          <w:ilvl w:val="0"/>
          <w:numId w:val="1031"/>
        </w:numPr>
        <w:pStyle w:val="Compact"/>
      </w:pPr>
      <w:r>
        <w:t xml:space="preserve">Modalidad de selección Interna (manual de contratación)</w:t>
      </w:r>
    </w:p>
    <w:p>
      <w:pPr>
        <w:pStyle w:val="FirstParagraph"/>
      </w:pPr>
      <w:r>
        <w:t xml:space="preserve">Mensaje respuesta: Rpta. Ingreso a Conti</w:t>
      </w:r>
    </w:p>
    <w:p>
      <w:pPr>
        <w:numPr>
          <w:ilvl w:val="0"/>
          <w:numId w:val="1032"/>
        </w:numPr>
        <w:pStyle w:val="Compact"/>
      </w:pPr>
      <w:r>
        <w:t xml:space="preserve">Tipo: TXT | SOAP | XML | JSN | YML | BASE64</w:t>
      </w:r>
    </w:p>
    <w:p>
      <w:pPr>
        <w:numPr>
          <w:ilvl w:val="0"/>
          <w:numId w:val="1032"/>
        </w:numPr>
        <w:pStyle w:val="Compact"/>
      </w:pPr>
      <w:r>
        <w:t xml:space="preserve">Contenido: Estructura de datos ítem aprobado</w:t>
      </w:r>
    </w:p>
    <w:p>
      <w:pPr>
        <w:numPr>
          <w:ilvl w:val="0"/>
          <w:numId w:val="1033"/>
        </w:numPr>
        <w:pStyle w:val="Compact"/>
      </w:pPr>
      <w:r>
        <w:t xml:space="preserve">Vigencia de ejecución</w:t>
      </w:r>
    </w:p>
    <w:p>
      <w:pPr>
        <w:numPr>
          <w:ilvl w:val="0"/>
          <w:numId w:val="1033"/>
        </w:numPr>
        <w:pStyle w:val="Compact"/>
      </w:pPr>
      <w:r>
        <w:t xml:space="preserve">ítem PAA</w:t>
      </w:r>
    </w:p>
    <w:p>
      <w:pPr>
        <w:numPr>
          <w:ilvl w:val="0"/>
          <w:numId w:val="1033"/>
        </w:numPr>
        <w:pStyle w:val="Compact"/>
      </w:pPr>
      <w:r>
        <w:t xml:space="preserve">Fuente de los recursos</w:t>
      </w:r>
    </w:p>
    <w:p>
      <w:pPr>
        <w:numPr>
          <w:ilvl w:val="0"/>
          <w:numId w:val="1033"/>
        </w:numPr>
        <w:pStyle w:val="Compact"/>
      </w:pPr>
      <w:r>
        <w:t xml:space="preserve">Valor Total Estimado del Contrato 5. Código UNSPSC</w:t>
      </w:r>
    </w:p>
    <w:p>
      <w:pPr>
        <w:numPr>
          <w:ilvl w:val="0"/>
          <w:numId w:val="1033"/>
        </w:numPr>
        <w:pStyle w:val="Compact"/>
      </w:pPr>
      <w:r>
        <w:t xml:space="preserve">Objeto</w:t>
      </w:r>
    </w:p>
    <w:p>
      <w:pPr>
        <w:numPr>
          <w:ilvl w:val="0"/>
          <w:numId w:val="1033"/>
        </w:numPr>
        <w:pStyle w:val="Compact"/>
      </w:pPr>
      <w:r>
        <w:t xml:space="preserve">Fecha estimada de inicio de proceso de selección(mes</w:t>
      </w:r>
    </w:p>
    <w:p>
      <w:pPr>
        <w:numPr>
          <w:ilvl w:val="0"/>
          <w:numId w:val="1033"/>
        </w:numPr>
        <w:pStyle w:val="Compact"/>
      </w:pPr>
      <w:r>
        <w:t xml:space="preserve">Fecha estimada de presentación de ofertas (mes)</w:t>
      </w:r>
    </w:p>
    <w:p>
      <w:pPr>
        <w:numPr>
          <w:ilvl w:val="0"/>
          <w:numId w:val="1033"/>
        </w:numPr>
        <w:pStyle w:val="Compact"/>
      </w:pPr>
      <w:r>
        <w:t xml:space="preserve">Duración estimada del contrato</w:t>
      </w:r>
    </w:p>
    <w:p>
      <w:pPr>
        <w:numPr>
          <w:ilvl w:val="0"/>
          <w:numId w:val="1033"/>
        </w:numPr>
        <w:pStyle w:val="Compact"/>
      </w:pPr>
      <w:r>
        <w:t xml:space="preserve">Duración estimada del contrato (intervalo: días, meses, años)</w:t>
      </w:r>
    </w:p>
    <w:p>
      <w:pPr>
        <w:numPr>
          <w:ilvl w:val="0"/>
          <w:numId w:val="1033"/>
        </w:numPr>
        <w:pStyle w:val="Compact"/>
      </w:pPr>
      <w:r>
        <w:t xml:space="preserve">Modalidad de selección Interna</w:t>
      </w:r>
    </w:p>
    <w:p>
      <w:pPr>
        <w:numPr>
          <w:ilvl w:val="0"/>
          <w:numId w:val="1033"/>
        </w:numPr>
        <w:pStyle w:val="Compact"/>
      </w:pPr>
      <w:r>
        <w:t xml:space="preserve">Modalidad SECOPII</w:t>
      </w:r>
    </w:p>
    <w:p>
      <w:pPr>
        <w:numPr>
          <w:ilvl w:val="0"/>
          <w:numId w:val="1033"/>
        </w:numPr>
        <w:pStyle w:val="Compact"/>
      </w:pPr>
      <w:r>
        <w:t xml:space="preserve">Departamento</w:t>
      </w:r>
    </w:p>
    <w:p>
      <w:pPr>
        <w:numPr>
          <w:ilvl w:val="0"/>
          <w:numId w:val="1033"/>
        </w:numPr>
        <w:pStyle w:val="Compact"/>
      </w:pPr>
      <w:r>
        <w:t xml:space="preserve">Municipio</w:t>
      </w:r>
    </w:p>
    <w:p>
      <w:pPr>
        <w:numPr>
          <w:ilvl w:val="0"/>
          <w:numId w:val="1033"/>
        </w:numPr>
        <w:pStyle w:val="Compact"/>
      </w:pPr>
      <w:r>
        <w:t xml:space="preserve">Dependencia</w:t>
      </w:r>
    </w:p>
    <w:p>
      <w:pPr>
        <w:numPr>
          <w:ilvl w:val="0"/>
          <w:numId w:val="1033"/>
        </w:numPr>
        <w:pStyle w:val="Compact"/>
      </w:pPr>
      <w:r>
        <w:t xml:space="preserve">Responsable</w:t>
      </w:r>
    </w:p>
    <w:p>
      <w:pPr>
        <w:numPr>
          <w:ilvl w:val="0"/>
          <w:numId w:val="1033"/>
        </w:numPr>
        <w:pStyle w:val="Compact"/>
      </w:pPr>
      <w:r>
        <w:t xml:space="preserve">Ordenador del gasto</w:t>
      </w:r>
    </w:p>
    <w:p>
      <w:pPr>
        <w:numPr>
          <w:ilvl w:val="0"/>
          <w:numId w:val="1033"/>
        </w:numPr>
        <w:pStyle w:val="Compact"/>
      </w:pPr>
      <w:r>
        <w:t xml:space="preserve">Correo electrónico responsable</w:t>
      </w:r>
    </w:p>
    <w:p>
      <w:pPr>
        <w:pStyle w:val="FirstParagraph"/>
      </w:pPr>
      <w:r>
        <w:t xml:space="preserve">Mensaje excepción: Rpta. Ingreso a Conti</w:t>
      </w:r>
    </w:p>
    <w:p>
      <w:pPr>
        <w:numPr>
          <w:ilvl w:val="0"/>
          <w:numId w:val="1034"/>
        </w:numPr>
        <w:pStyle w:val="Compact"/>
      </w:pPr>
      <w:r>
        <w:t xml:space="preserve">Tipo: TXT | SOAP | XML | JSN | YML | BASE64</w:t>
      </w:r>
    </w:p>
    <w:p>
      <w:pPr>
        <w:numPr>
          <w:ilvl w:val="0"/>
          <w:numId w:val="1034"/>
        </w:numPr>
        <w:pStyle w:val="Compact"/>
      </w:pPr>
      <w:r>
        <w:t xml:space="preserve">Contenido: Código de respuesta: ej. HTTP 500 | TXT | Numeración (entero)</w:t>
      </w:r>
    </w:p>
    <w:bookmarkEnd w:id="65"/>
    <w:bookmarkStart w:id="66"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información transformada de extremo a extremo. (Message Construct, Message Routing, Message Transformation, Messaging Endpoints).</w:t>
      </w:r>
    </w:p>
    <w:bookmarkEnd w:id="66"/>
    <w:bookmarkStart w:id="67"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Consulta ítem.</w:t>
      </w:r>
    </w:p>
    <w:tbl>
      <w:tblPr>
        <w:tblStyle w:val="Table"/>
        <w:tblW w:type="auto" w:w="0"/>
        <w:tblLook w:firstRow="1" w:lastRow="0" w:firstColumn="0" w:lastColumn="0" w:noHBand="0" w:noVBand="0" w:val="0020"/>
        <w:jc w:val="start"/>
        <w:tblCaption w:val="Matriz de interoperabilidad del CU Consulta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7"/>
    <w:bookmarkStart w:id="68"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5"/>
        </w:numPr>
        <w:pStyle w:val="Compact"/>
      </w:pPr>
      <w:r>
        <w:t xml:space="preserve">PRUB1.0 Consumo: la aplicación consumidora Conti no recibe la respuesta de la consulta a tiempo.</w:t>
      </w:r>
    </w:p>
    <w:p>
      <w:pPr>
        <w:numPr>
          <w:ilvl w:val="0"/>
          <w:numId w:val="1035"/>
        </w:numPr>
        <w:pStyle w:val="Compact"/>
      </w:pPr>
      <w:r>
        <w:t xml:space="preserve">PRUB11. Consulta sin resultado: la aplicación proveedora Plani entrega una respuesta vacía.</w:t>
      </w:r>
    </w:p>
    <w:p>
      <w:pPr>
        <w:numPr>
          <w:ilvl w:val="0"/>
          <w:numId w:val="1035"/>
        </w:numPr>
        <w:pStyle w:val="Compact"/>
      </w:pPr>
      <w:r>
        <w:t xml:space="preserve">PRUB12. Consulta incorrecta: la aplicación proveedora Plani no provee el formato de respuesta esperado.</w:t>
      </w:r>
    </w:p>
    <w:bookmarkEnd w:id="68"/>
    <w:bookmarkEnd w:id="69"/>
    <w:bookmarkStart w:id="70" w:name="sec:hu.sint3.-integración.-radicar-ítem"/>
    <w:p>
      <w:pPr>
        <w:pStyle w:val="Heading3"/>
      </w:pPr>
      <w:r>
        <w:t xml:space="preserve">HU.SINT3. Integración. Radicar ítem</w:t>
      </w:r>
    </w:p>
    <w:bookmarkEnd w:id="70"/>
    <w:bookmarkStart w:id="75" w:name="sec:especificación-de-integración-2"/>
    <w:p>
      <w:pPr>
        <w:pStyle w:val="Heading3"/>
      </w:pPr>
      <w:r>
        <w:t xml:space="preserve">Especificación de integración</w:t>
      </w:r>
    </w:p>
    <w:p>
      <w:pPr>
        <w:pStyle w:val="FirstParagraph"/>
      </w:pPr>
      <w:r>
        <w:t xml:space="preserve">Esta integracieon inicia en Conti el proceso de gestión dentro de la ruta precontractual (Revisar documento</w:t>
      </w:r>
      <w:r>
        <w:t xml:space="preserve"> </w:t>
      </w:r>
      <w:r>
        <w:t xml:space="preserve">“</w:t>
      </w:r>
      <w:r>
        <w:t xml:space="preserve">1. Acta de requerimientos Proceso Precontractual_V2</w:t>
      </w:r>
      <w:r>
        <w:t xml:space="preserve">”</w:t>
      </w:r>
      <w:r>
        <w:t xml:space="preserve">), y pedirá un radicado asociado al ítem seleccionado.</w:t>
      </w:r>
    </w:p>
    <w:p>
      <w:pPr>
        <w:pStyle w:val="BodyText"/>
      </w:pPr>
      <w:r>
        <w:t xml:space="preserve">Una vez generado el número del radicado, Conti envía a Plani la llamada posterior (callback) con esta información para que pueda ser almacenada y relacionada al ítem en el sistema Plani. A su vez, Plani envía un mensaje de confirmación a Conti.</w:t>
      </w:r>
    </w:p>
    <w:bookmarkStart w:id="71" w:name="sec:elementos-2"/>
    <w:p>
      <w:pPr>
        <w:pStyle w:val="Heading4"/>
      </w:pPr>
      <w:r>
        <w:t xml:space="preserve">Elementos</w:t>
      </w:r>
    </w:p>
    <w:p>
      <w:pPr>
        <w:pStyle w:val="FirstParagraph"/>
      </w:pPr>
      <w:r>
        <w:t xml:space="preserve">Elegir y describir los elementos de la actual integración.</w:t>
      </w:r>
    </w:p>
    <w:p>
      <w:pPr>
        <w:numPr>
          <w:ilvl w:val="0"/>
          <w:numId w:val="1036"/>
        </w:numPr>
        <w:pStyle w:val="Compact"/>
      </w:pPr>
      <w:r>
        <w:t xml:space="preserve">☒ App consumidora (A)</w:t>
      </w:r>
    </w:p>
    <w:p>
      <w:pPr>
        <w:numPr>
          <w:ilvl w:val="0"/>
          <w:numId w:val="1036"/>
        </w:numPr>
        <w:pStyle w:val="Compact"/>
      </w:pPr>
      <w:r>
        <w:t xml:space="preserve">☒ Mensaje</w:t>
      </w:r>
    </w:p>
    <w:p>
      <w:pPr>
        <w:numPr>
          <w:ilvl w:val="0"/>
          <w:numId w:val="1036"/>
        </w:numPr>
        <w:pStyle w:val="Compact"/>
      </w:pPr>
      <w:r>
        <w:t xml:space="preserve">☒ Canal</w:t>
      </w:r>
    </w:p>
    <w:p>
      <w:pPr>
        <w:numPr>
          <w:ilvl w:val="0"/>
          <w:numId w:val="1036"/>
        </w:numPr>
        <w:pStyle w:val="Compact"/>
      </w:pPr>
      <w:r>
        <w:t xml:space="preserve">☒ Ruteo</w:t>
      </w:r>
    </w:p>
    <w:p>
      <w:pPr>
        <w:numPr>
          <w:ilvl w:val="0"/>
          <w:numId w:val="1036"/>
        </w:numPr>
        <w:pStyle w:val="Compact"/>
      </w:pPr>
      <w:r>
        <w:t xml:space="preserve">☒ Traducción</w:t>
      </w:r>
    </w:p>
    <w:p>
      <w:pPr>
        <w:numPr>
          <w:ilvl w:val="0"/>
          <w:numId w:val="1036"/>
        </w:numPr>
        <w:pStyle w:val="Compact"/>
      </w:pPr>
      <w:r>
        <w:t xml:space="preserve">☒ App proveedora (B)</w:t>
      </w:r>
    </w:p>
    <w:p>
      <w:pPr>
        <w:numPr>
          <w:ilvl w:val="0"/>
          <w:numId w:val="1036"/>
        </w:numPr>
        <w:pStyle w:val="Compact"/>
      </w:pPr>
      <w:r>
        <w:t xml:space="preserve">☐ Monitoreo</w:t>
      </w:r>
    </w:p>
    <w:p>
      <w:pPr>
        <w:pStyle w:val="FirstParagraph"/>
      </w:pPr>
      <w:r>
        <w:t xml:space="preserve">Aplicación consumidora A: Conti. Aplicación proveedora B: Plani, C: Otro</w:t>
      </w:r>
    </w:p>
    <w:p>
      <w:pPr>
        <w:pStyle w:val="BodyText"/>
      </w:pPr>
      <w:r>
        <w:t xml:space="preserve">Mensaje solicitud: (ver estándar de nombramiento) Consulta ítem</w:t>
      </w:r>
    </w:p>
    <w:p>
      <w:pPr>
        <w:numPr>
          <w:ilvl w:val="0"/>
          <w:numId w:val="1037"/>
        </w:numPr>
        <w:pStyle w:val="Compact"/>
      </w:pPr>
      <w:r>
        <w:t xml:space="preserve">Tipo: TXT | SOAP | XML | JSN | YML | BASE64</w:t>
      </w:r>
    </w:p>
    <w:p>
      <w:pPr>
        <w:numPr>
          <w:ilvl w:val="0"/>
          <w:numId w:val="1037"/>
        </w:numPr>
        <w:pStyle w:val="Compact"/>
      </w:pPr>
      <w:r>
        <w:t xml:space="preserve">Contenido: Estructura de datos consulta ítem</w:t>
      </w:r>
    </w:p>
    <w:p>
      <w:pPr>
        <w:pStyle w:val="FirstParagraph"/>
      </w:pPr>
      <w:r>
        <w:t xml:space="preserve">Mensaje respuesta: Rpta. Ingreso a Conti</w:t>
      </w:r>
    </w:p>
    <w:p>
      <w:pPr>
        <w:numPr>
          <w:ilvl w:val="0"/>
          <w:numId w:val="1038"/>
        </w:numPr>
        <w:pStyle w:val="Compact"/>
      </w:pPr>
      <w:r>
        <w:t xml:space="preserve">Tipo: TXT | SOAP | XML | JSN | YML | BASE64</w:t>
      </w:r>
    </w:p>
    <w:p>
      <w:pPr>
        <w:numPr>
          <w:ilvl w:val="0"/>
          <w:numId w:val="1038"/>
        </w:numPr>
        <w:pStyle w:val="Compact"/>
      </w:pPr>
      <w:r>
        <w:t xml:space="preserve">Contenido: Estructura de datos ítem aprobado</w:t>
      </w:r>
    </w:p>
    <w:p>
      <w:pPr>
        <w:pStyle w:val="FirstParagraph"/>
      </w:pPr>
      <w:r>
        <w:t xml:space="preserve">Mensaje excepción: Rpta. Ingreso a Conti</w:t>
      </w:r>
    </w:p>
    <w:p>
      <w:pPr>
        <w:numPr>
          <w:ilvl w:val="0"/>
          <w:numId w:val="1039"/>
        </w:numPr>
        <w:pStyle w:val="Compact"/>
      </w:pPr>
      <w:r>
        <w:t xml:space="preserve">Tipo: TXT | SOAP | XML | JSN | YML | BASE64</w:t>
      </w:r>
    </w:p>
    <w:p>
      <w:pPr>
        <w:numPr>
          <w:ilvl w:val="0"/>
          <w:numId w:val="1039"/>
        </w:numPr>
        <w:pStyle w:val="Compact"/>
      </w:pPr>
      <w:r>
        <w:t xml:space="preserve">Contenido: Código de respuesta: ej. HTTP 500 | TXT | Numeración (entero)</w:t>
      </w:r>
    </w:p>
    <w:bookmarkEnd w:id="71"/>
    <w:bookmarkStart w:id="72"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funcionalidad y datos transformados de extremo a extremo. (Message Construct, Message Routing, Message Transformation, Messaging Endpoints).</w:t>
      </w:r>
    </w:p>
    <w:bookmarkEnd w:id="72"/>
    <w:bookmarkStart w:id="73"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ítem.</w:t>
      </w:r>
    </w:p>
    <w:tbl>
      <w:tblPr>
        <w:tblStyle w:val="Table"/>
        <w:tblW w:type="auto" w:w="0"/>
        <w:tblLook w:firstRow="1" w:lastRow="0" w:firstColumn="0" w:lastColumn="0" w:noHBand="0" w:noVBand="0" w:val="0020"/>
        <w:jc w:val="start"/>
        <w:tblCaption w:val="Matriz de interoperabilidad del CU Radicar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 (C)</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jc w:val="left"/>
            </w:pPr>
            <w:r>
              <w:t xml:space="preserve">Funcionalidad</w:t>
            </w: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3"/>
    <w:bookmarkStart w:id="74"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0"/>
        </w:numPr>
        <w:pStyle w:val="Compact"/>
      </w:pPr>
      <w:r>
        <w:t xml:space="preserve">PRUB20 Consumo: la aplicación consumidora Conti no recibe la respuesta del radicado a tiempo.</w:t>
      </w:r>
    </w:p>
    <w:p>
      <w:pPr>
        <w:numPr>
          <w:ilvl w:val="0"/>
          <w:numId w:val="1040"/>
        </w:numPr>
        <w:pStyle w:val="Compact"/>
      </w:pPr>
      <w:r>
        <w:t xml:space="preserve">PRUB21. Radicado: la aplicación proveedora del radicado falla en proveer el radicado</w:t>
      </w:r>
    </w:p>
    <w:p>
      <w:pPr>
        <w:numPr>
          <w:ilvl w:val="0"/>
          <w:numId w:val="1040"/>
        </w:numPr>
        <w:pStyle w:val="Compact"/>
      </w:pPr>
      <w:r>
        <w:t xml:space="preserve">PRUB22. Consulta incorrecta: la aplicación proveedora Plani no provee el formato de respuesta esperado.</w:t>
      </w:r>
    </w:p>
    <w:bookmarkEnd w:id="74"/>
    <w:bookmarkEnd w:id="75"/>
    <w:bookmarkStart w:id="76" w:name="X55f3d35fe97a710aa4ba7aada0fe466a6fa748a"/>
    <w:p>
      <w:pPr>
        <w:pStyle w:val="Heading3"/>
      </w:pPr>
      <w:r>
        <w:t xml:space="preserve">HU.SINT4. Integración. Generación de documentos</w:t>
      </w:r>
    </w:p>
    <w:bookmarkEnd w:id="76"/>
    <w:bookmarkStart w:id="81" w:name="sec:especificación-de-integración-3"/>
    <w:p>
      <w:pPr>
        <w:pStyle w:val="Heading3"/>
      </w:pPr>
      <w:r>
        <w:t xml:space="preserve">Especificación de integración</w:t>
      </w:r>
    </w:p>
    <w:p>
      <w:pPr>
        <w:pStyle w:val="FirstParagraph"/>
      </w:pPr>
      <w:r>
        <w:t xml:space="preserve">Una vez se tenga seleccionado el ítem a gestionar el usuario debe identificar el tipo de documento que esté relacionado al mismo, sea documento justificativo, Reglas de invitación y/o anexos.</w:t>
      </w:r>
    </w:p>
    <w:p>
      <w:pPr>
        <w:pStyle w:val="BodyText"/>
      </w:pPr>
      <w:r>
        <w:t xml:space="preserve">Esta integración debe enviar el documento a…</w:t>
      </w:r>
    </w:p>
    <w:bookmarkStart w:id="77" w:name="sec:elementos-3"/>
    <w:p>
      <w:pPr>
        <w:pStyle w:val="Heading4"/>
      </w:pPr>
      <w:r>
        <w:t xml:space="preserve">Elementos</w:t>
      </w:r>
    </w:p>
    <w:p>
      <w:pPr>
        <w:pStyle w:val="FirstParagraph"/>
      </w:pPr>
      <w:r>
        <w:t xml:space="preserve">Elegir y describir los elementos de la actual integración.</w:t>
      </w:r>
    </w:p>
    <w:p>
      <w:pPr>
        <w:numPr>
          <w:ilvl w:val="0"/>
          <w:numId w:val="1041"/>
        </w:numPr>
        <w:pStyle w:val="Compact"/>
      </w:pPr>
      <w:r>
        <w:t xml:space="preserve">☐ App consumidora (A)</w:t>
      </w:r>
    </w:p>
    <w:p>
      <w:pPr>
        <w:numPr>
          <w:ilvl w:val="0"/>
          <w:numId w:val="1041"/>
        </w:numPr>
        <w:pStyle w:val="Compact"/>
      </w:pPr>
      <w:r>
        <w:t xml:space="preserve">☐ Mensaje</w:t>
      </w:r>
    </w:p>
    <w:p>
      <w:pPr>
        <w:numPr>
          <w:ilvl w:val="0"/>
          <w:numId w:val="1041"/>
        </w:numPr>
        <w:pStyle w:val="Compact"/>
      </w:pPr>
      <w:r>
        <w:t xml:space="preserve">☐ Canal</w:t>
      </w:r>
    </w:p>
    <w:p>
      <w:pPr>
        <w:numPr>
          <w:ilvl w:val="0"/>
          <w:numId w:val="1041"/>
        </w:numPr>
        <w:pStyle w:val="Compact"/>
      </w:pPr>
      <w:r>
        <w:t xml:space="preserve">☐ Ruteo</w:t>
      </w:r>
    </w:p>
    <w:p>
      <w:pPr>
        <w:numPr>
          <w:ilvl w:val="0"/>
          <w:numId w:val="1041"/>
        </w:numPr>
        <w:pStyle w:val="Compact"/>
      </w:pPr>
      <w:r>
        <w:t xml:space="preserve">☐ Traducción</w:t>
      </w:r>
    </w:p>
    <w:p>
      <w:pPr>
        <w:numPr>
          <w:ilvl w:val="0"/>
          <w:numId w:val="1041"/>
        </w:numPr>
        <w:pStyle w:val="Compact"/>
      </w:pPr>
      <w:r>
        <w:t xml:space="preserve">☐ App proveedora (B)</w:t>
      </w:r>
    </w:p>
    <w:p>
      <w:pPr>
        <w:numPr>
          <w:ilvl w:val="0"/>
          <w:numId w:val="1041"/>
        </w:numPr>
        <w:pStyle w:val="Compact"/>
      </w:pPr>
      <w:r>
        <w:t xml:space="preserve">☐ Monitoreo</w:t>
      </w:r>
    </w:p>
    <w:p>
      <w:pPr>
        <w:pStyle w:val="FirstParagraph"/>
      </w:pPr>
      <w:r>
        <w:t xml:space="preserve">Aplicación consumidora A: Conti. Aplicación proveedora B:</w:t>
      </w:r>
    </w:p>
    <w:p>
      <w:pPr>
        <w:pStyle w:val="BodyText"/>
      </w:pPr>
      <w:r>
        <w:t xml:space="preserve">Mensaje: Ingreso a Conti</w:t>
      </w:r>
      <w:r>
        <w:t xml:space="preserve"> </w:t>
      </w:r>
      <w:r>
        <w:t xml:space="preserve">* Tipo: TXT | SOAP | XML | JSN | YML | BASE64</w:t>
      </w:r>
      <w:r>
        <w:t xml:space="preserve"> </w:t>
      </w:r>
      <w:r>
        <w:t xml:space="preserve">* Contenido:</w:t>
      </w:r>
    </w:p>
    <w:bookmarkEnd w:id="77"/>
    <w:bookmarkStart w:id="78" w:name="sec:diseño-3"/>
    <w:p>
      <w:pPr>
        <w:pStyle w:val="Heading4"/>
      </w:pPr>
      <w:r>
        <w:t xml:space="preserve">Diseño</w:t>
      </w:r>
    </w:p>
    <w:p>
      <w:pPr>
        <w:pStyle w:val="FirstParagraph"/>
      </w:pPr>
      <w:r>
        <w:t xml:space="preserve">Message Construct | Message Routing | Message Transformation | Messaging Endpoints | Messaging Channels | …</w:t>
      </w:r>
    </w:p>
    <w:bookmarkEnd w:id="78"/>
    <w:bookmarkStart w:id="79"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Generación de documentos</w:t>
      </w:r>
    </w:p>
    <w:tbl>
      <w:tblPr>
        <w:tblStyle w:val="Table"/>
        <w:tblW w:type="auto" w:w="0"/>
        <w:tblLook w:firstRow="1" w:lastRow="0" w:firstColumn="0" w:lastColumn="0" w:noHBand="0" w:noVBand="0" w:val="0020"/>
        <w:jc w:val="start"/>
        <w:tblCaption w:val="Matriz de interoperabilidad del CU Generación de documentos"/>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9"/>
    <w:bookmarkStart w:id="80"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2"/>
        </w:numPr>
        <w:pStyle w:val="Compact"/>
      </w:pPr>
      <w:r>
        <w:t xml:space="preserve">PRUB1.</w:t>
      </w:r>
    </w:p>
    <w:p>
      <w:pPr>
        <w:numPr>
          <w:ilvl w:val="0"/>
          <w:numId w:val="1042"/>
        </w:numPr>
        <w:pStyle w:val="Compact"/>
      </w:pPr>
      <w:r>
        <w:t xml:space="preserve">PRUB2.</w:t>
      </w:r>
    </w:p>
    <w:bookmarkEnd w:id="80"/>
    <w:bookmarkEnd w:id="81"/>
    <w:bookmarkEnd w:id="82"/>
    <w:bookmarkEnd w:id="83"/>
    <w:bookmarkStart w:id="100" w:name="Xe686877163483f2fa6879f96d63284a1593ddd2"/>
    <w:p>
      <w:pPr>
        <w:pStyle w:val="Heading1"/>
      </w:pPr>
      <w:r>
        <w:t xml:space="preserve">Modelo de Despliegue de Requerimientos de Interoperabilidad Proyecto JEP</w:t>
      </w:r>
    </w:p>
    <w:bookmarkStart w:id="90"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85" name="Picture"/>
            <a:graphic>
              <a:graphicData uri="http://schemas.openxmlformats.org/drawingml/2006/picture">
                <pic:pic>
                  <pic:nvPicPr>
                    <pic:cNvPr descr="images/06.ENTRG.1n.1a.1.DespliegueEntregasdeRequerimientoVersion0.1.png" id="86" name="Picture"/>
                    <pic:cNvPicPr>
                      <a:picLocks noChangeArrowheads="1" noChangeAspect="1"/>
                    </pic:cNvPicPr>
                  </pic:nvPicPr>
                  <pic:blipFill>
                    <a:blip r:embed="rId84"/>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89" w:name="sec:elementos-del-modelo-2"/>
    <w:p>
      <w:pPr>
        <w:pStyle w:val="Heading3"/>
      </w:pPr>
      <w:r>
        <w:t xml:space="preserve">Elementos del Modelo</w:t>
      </w:r>
    </w:p>
    <w:p>
      <w:pPr>
        <w:numPr>
          <w:ilvl w:val="0"/>
          <w:numId w:val="1043"/>
        </w:numPr>
      </w:pPr>
      <w:r>
        <w:rPr>
          <w:bCs/>
          <w:b/>
        </w:rPr>
        <w:t xml:space="preserve">Ciclo. Entrega versión 1</w:t>
      </w:r>
      <w:r>
        <w:t xml:space="preserve">. Versión 1. Solución integración JEP.</w:t>
      </w:r>
    </w:p>
    <w:p>
      <w:pPr>
        <w:numPr>
          <w:ilvl w:val="0"/>
          <w:numId w:val="1043"/>
        </w:numPr>
      </w:pPr>
      <w:r>
        <w:rPr>
          <w:bCs/>
          <w:b/>
        </w:rPr>
        <w:t xml:space="preserve">Capacidad: Integrar operaciones Conti x Plani</w:t>
      </w:r>
      <w:r>
        <w:t xml:space="preserve">. Característica de integración de Conti contenido en la solución de integración JEP, 2024.</w:t>
      </w:r>
    </w:p>
    <w:p>
      <w:pPr>
        <w:numPr>
          <w:ilvl w:val="0"/>
          <w:numId w:val="1043"/>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43"/>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88" w:name="Xf3f2a5b00035c349fdba78c62a0da344d81b6a9"/>
    <w:p>
      <w:pPr>
        <w:pStyle w:val="Heading4"/>
      </w:pPr>
      <w:r>
        <w:t xml:space="preserve">Índice de la documentación (casos de uso)</w:t>
      </w:r>
    </w:p>
    <w:p>
      <w:pPr>
        <w:numPr>
          <w:ilvl w:val="0"/>
          <w:numId w:val="1044"/>
        </w:numPr>
        <w:pStyle w:val="Compact"/>
      </w:pPr>
      <w:r>
        <w:t xml:space="preserve">Integración. Ingreso a Conti</w:t>
      </w:r>
    </w:p>
    <w:p>
      <w:pPr>
        <w:numPr>
          <w:ilvl w:val="0"/>
          <w:numId w:val="1044"/>
        </w:numPr>
        <w:pStyle w:val="Compact"/>
      </w:pPr>
      <w:r>
        <w:t xml:space="preserve">Integración. Consulta ítem de Conti</w:t>
      </w:r>
    </w:p>
    <w:p>
      <w:pPr>
        <w:numPr>
          <w:ilvl w:val="0"/>
          <w:numId w:val="1044"/>
        </w:numPr>
        <w:pStyle w:val="Compact"/>
      </w:pPr>
      <w:r>
        <w:t xml:space="preserve">Integración. Radicar ítem</w:t>
      </w:r>
    </w:p>
    <w:p>
      <w:pPr>
        <w:numPr>
          <w:ilvl w:val="0"/>
          <w:numId w:val="1044"/>
        </w:numPr>
        <w:pStyle w:val="Compact"/>
      </w:pPr>
      <w:r>
        <w:t xml:space="preserve">Integración. Generación de documentos</w:t>
      </w:r>
    </w:p>
    <w:p>
      <w:pPr>
        <w:numPr>
          <w:ilvl w:val="0"/>
          <w:numId w:val="1045"/>
        </w:numPr>
      </w:pPr>
      <w:r>
        <w:rPr>
          <w:bCs/>
          <w:b/>
        </w:rPr>
        <w:t xml:space="preserve">SINT1. Integración. Ingreso a Conti</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SINT2. Integración. Consulta ítem de Conti</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SINT3. Integración. Radicar ítem</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SINT4. Integración. Generación de documentos</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ENTG06. Contenedor</w:t>
      </w:r>
      <w:r>
        <w:t xml:space="preserve">. Contenedores de los servicios de integración del proyecto desplegados en la infraestructura tecnológica JEP.</w:t>
      </w:r>
    </w:p>
    <w:p>
      <w:pPr>
        <w:numPr>
          <w:ilvl w:val="0"/>
          <w:numId w:val="1045"/>
        </w:numPr>
      </w:pPr>
      <w:r>
        <w:rPr>
          <w:bCs/>
          <w:b/>
        </w:rPr>
        <w:t xml:space="preserve">ENTG06. Contenedor</w:t>
      </w:r>
      <w:r>
        <w:t xml:space="preserve">. Contenedores de los servicios de integración del proyecto desplegados en la infraestructura tecnológica JEP.</w:t>
      </w:r>
    </w:p>
    <w:p>
      <w:pPr>
        <w:numPr>
          <w:ilvl w:val="0"/>
          <w:numId w:val="1045"/>
        </w:numPr>
      </w:pPr>
      <w:r>
        <w:rPr>
          <w:bCs/>
          <w:b/>
        </w:rPr>
        <w:t xml:space="preserve">Intermediador (cola o bus)</w:t>
      </w:r>
      <w:r>
        <w:t xml:space="preserve">. Bus de Red Hat, aplicación cliente Quarkus, o intermediador de integración Apache Camel.</w:t>
      </w:r>
    </w:p>
    <w:p>
      <w:pPr>
        <w:numPr>
          <w:ilvl w:val="0"/>
          <w:numId w:val="1045"/>
        </w:numPr>
      </w:pPr>
      <w:r>
        <w:rPr>
          <w:bCs/>
          <w:b/>
        </w:rPr>
        <w:t xml:space="preserve">Mensaje solicitud</w:t>
      </w:r>
      <w:r>
        <w:t xml:space="preserve">. Formato predefinido de intercambio de datos.</w:t>
      </w:r>
    </w:p>
    <w:p>
      <w:pPr>
        <w:numPr>
          <w:ilvl w:val="0"/>
          <w:numId w:val="1045"/>
        </w:numPr>
      </w:pPr>
      <w:r>
        <w:rPr>
          <w:bCs/>
          <w:b/>
        </w:rPr>
        <w:t xml:space="preserve">Mensaje respuesta o excepción</w:t>
      </w:r>
      <w:r>
        <w:t xml:space="preserve">. Formato predefinido de intercambio de datos.</w:t>
      </w:r>
    </w:p>
    <w:p>
      <w:pPr>
        <w:numPr>
          <w:ilvl w:val="0"/>
          <w:numId w:val="1045"/>
        </w:numPr>
      </w:pPr>
      <w:r>
        <w:rPr>
          <w:bCs/>
          <w:b/>
        </w:rPr>
        <w:t xml:space="preserve">Nodo Intermediador</w:t>
      </w:r>
      <w:r>
        <w:t xml:space="preserve">. Nodo lógico en donde corren los contenedores.</w:t>
      </w:r>
    </w:p>
    <w:p>
      <w:pPr>
        <w:numPr>
          <w:ilvl w:val="0"/>
          <w:numId w:val="1045"/>
        </w:numPr>
      </w:pPr>
      <w:r>
        <w:rPr>
          <w:bCs/>
          <w:b/>
        </w:rPr>
        <w:t xml:space="preserve">Nodo Integración JEP (worker)</w:t>
      </w:r>
      <w:r>
        <w:t xml:space="preserve">. Nodo lógico en donde corren los contenedores.</w:t>
      </w:r>
    </w:p>
    <w:p>
      <w:pPr>
        <w:numPr>
          <w:ilvl w:val="0"/>
          <w:numId w:val="1045"/>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6"/>
        </w:numPr>
        <w:pStyle w:val="Compact"/>
      </w:pPr>
      <w:r>
        <w:rPr>
          <w:bCs/>
          <w:b/>
        </w:rPr>
        <w:t xml:space="preserve">Acceso:</w:t>
      </w:r>
      <w:r>
        <w:t xml:space="preserve"> </w:t>
      </w:r>
      <w:r>
        <w:t xml:space="preserve">La consola se encuentra en</w:t>
      </w:r>
      <w:r>
        <w:t xml:space="preserve"> </w:t>
      </w:r>
      <w:hyperlink r:id="rId87">
        <w:r>
          <w:rPr>
            <w:rStyle w:val="Hyperlink"/>
          </w:rPr>
          <w:t xml:space="preserve">https://console-openshift-console.apps.interopera.jep.gov.co/k8s/cluster/projects</w:t>
        </w:r>
      </w:hyperlink>
      <w:r>
        <w:t xml:space="preserve">.</w:t>
      </w:r>
    </w:p>
    <w:p>
      <w:pPr>
        <w:numPr>
          <w:ilvl w:val="0"/>
          <w:numId w:val="1046"/>
        </w:numPr>
        <w:pStyle w:val="Compact"/>
      </w:pPr>
      <w:r>
        <w:rPr>
          <w:bCs/>
          <w:b/>
        </w:rPr>
        <w:t xml:space="preserve">VPN:</w:t>
      </w:r>
      <w:r>
        <w:t xml:space="preserve"> </w:t>
      </w:r>
      <w:r>
        <w:t xml:space="preserve">Gateway Remoto: 190.144.149.224.</w:t>
      </w:r>
    </w:p>
    <w:p>
      <w:pPr>
        <w:numPr>
          <w:ilvl w:val="0"/>
          <w:numId w:val="1046"/>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6"/>
        </w:numPr>
        <w:pStyle w:val="Compact"/>
      </w:pPr>
      <w:r>
        <w:rPr>
          <w:bCs/>
          <w:b/>
        </w:rPr>
        <w:t xml:space="preserve">Entorno de Despliegue:</w:t>
      </w:r>
      <w:r>
        <w:t xml:space="preserve"> </w:t>
      </w:r>
      <w:r>
        <w:t xml:space="preserve">desarrollo-sg</w:t>
      </w:r>
    </w:p>
    <w:p>
      <w:pPr>
        <w:numPr>
          <w:ilvl w:val="0"/>
          <w:numId w:val="1046"/>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7"/>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7"/>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48"/>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48"/>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48"/>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88"/>
    <w:bookmarkEnd w:id="89"/>
    <w:bookmarkEnd w:id="90"/>
    <w:bookmarkStart w:id="94"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92" name="Picture"/>
            <a:graphic>
              <a:graphicData uri="http://schemas.openxmlformats.org/drawingml/2006/picture">
                <pic:pic>
                  <pic:nvPicPr>
                    <pic:cNvPr descr="images/05.REQR.1n.3n.PlantillaCasodeUso.png" id="93" name="Picture"/>
                    <pic:cNvPicPr>
                      <a:picLocks noChangeArrowheads="1" noChangeAspect="1"/>
                    </pic:cNvPicPr>
                  </pic:nvPicPr>
                  <pic:blipFill>
                    <a:blip r:embed="rId91"/>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94"/>
    <w:bookmarkStart w:id="99"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95" w:name="sec:elementos-4"/>
    <w:p>
      <w:pPr>
        <w:pStyle w:val="Heading3"/>
      </w:pPr>
      <w:r>
        <w:t xml:space="preserve">Elementos</w:t>
      </w:r>
    </w:p>
    <w:p>
      <w:pPr>
        <w:pStyle w:val="FirstParagraph"/>
      </w:pPr>
      <w:r>
        <w:t xml:space="preserve">Elegir y describir los elementos de la actual integración.</w:t>
      </w:r>
    </w:p>
    <w:p>
      <w:pPr>
        <w:numPr>
          <w:ilvl w:val="0"/>
          <w:numId w:val="1049"/>
        </w:numPr>
        <w:pStyle w:val="Compact"/>
      </w:pPr>
      <w:r>
        <w:t xml:space="preserve">☐ App consumidora (A)</w:t>
      </w:r>
    </w:p>
    <w:p>
      <w:pPr>
        <w:numPr>
          <w:ilvl w:val="0"/>
          <w:numId w:val="1049"/>
        </w:numPr>
        <w:pStyle w:val="Compact"/>
      </w:pPr>
      <w:r>
        <w:t xml:space="preserve">☐ Mensaje</w:t>
      </w:r>
    </w:p>
    <w:p>
      <w:pPr>
        <w:numPr>
          <w:ilvl w:val="0"/>
          <w:numId w:val="1049"/>
        </w:numPr>
        <w:pStyle w:val="Compact"/>
      </w:pPr>
      <w:r>
        <w:t xml:space="preserve">☐ Canal</w:t>
      </w:r>
    </w:p>
    <w:p>
      <w:pPr>
        <w:numPr>
          <w:ilvl w:val="0"/>
          <w:numId w:val="1049"/>
        </w:numPr>
        <w:pStyle w:val="Compact"/>
      </w:pPr>
      <w:r>
        <w:t xml:space="preserve">☐ Ruteo</w:t>
      </w:r>
    </w:p>
    <w:p>
      <w:pPr>
        <w:numPr>
          <w:ilvl w:val="0"/>
          <w:numId w:val="1049"/>
        </w:numPr>
        <w:pStyle w:val="Compact"/>
      </w:pPr>
      <w:r>
        <w:t xml:space="preserve">☐ Traducción</w:t>
      </w:r>
    </w:p>
    <w:p>
      <w:pPr>
        <w:numPr>
          <w:ilvl w:val="0"/>
          <w:numId w:val="1049"/>
        </w:numPr>
        <w:pStyle w:val="Compact"/>
      </w:pPr>
      <w:r>
        <w:t xml:space="preserve">☐ App proveedora (B)</w:t>
      </w:r>
    </w:p>
    <w:p>
      <w:pPr>
        <w:numPr>
          <w:ilvl w:val="0"/>
          <w:numId w:val="1049"/>
        </w:numPr>
        <w:pStyle w:val="Compact"/>
      </w:pPr>
      <w:r>
        <w:t xml:space="preserve">☐ Monitoreo</w:t>
      </w:r>
    </w:p>
    <w:bookmarkEnd w:id="95"/>
    <w:bookmarkStart w:id="96" w:name="sec:diseño-4"/>
    <w:p>
      <w:pPr>
        <w:pStyle w:val="Heading3"/>
      </w:pPr>
      <w:r>
        <w:t xml:space="preserve">Diseño</w:t>
      </w:r>
    </w:p>
    <w:p>
      <w:pPr>
        <w:pStyle w:val="FirstParagraph"/>
      </w:pPr>
      <w:r>
        <w:t xml:space="preserve">Message Construct | Message Routing | Message Transformation | Messaging Endpoints | Messaging Channels | …</w:t>
      </w:r>
    </w:p>
    <w:bookmarkEnd w:id="96"/>
    <w:bookmarkStart w:id="97"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97"/>
    <w:bookmarkStart w:id="98"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98"/>
    <w:bookmarkEnd w:id="99"/>
    <w:bookmarkEnd w:id="100"/>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91" Target="media/rId91.png" /><Relationship Type="http://schemas.openxmlformats.org/officeDocument/2006/relationships/image" Id="rId53" Target="media/rId53.png" /><Relationship Type="http://schemas.openxmlformats.org/officeDocument/2006/relationships/image" Id="rId84" Target="media/rId84.png" /><Relationship Type="http://schemas.openxmlformats.org/officeDocument/2006/relationships/hyperlink" Id="rId87"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87"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1.c758d05 - clean - Mon, 9 Dec 2024 16:39:41 -0500</dc:creator>
  <dc:language>en</dc:language>
  <dc:subject>Implementación Proyecto</dc:subject>
  <cp:keywords>Integración, Interoperabilidad, JEP, Softgic</cp:keywords>
  <dcterms:created xsi:type="dcterms:W3CDTF">2024-12-09T21:40:36Z</dcterms:created>
  <dcterms:modified xsi:type="dcterms:W3CDTF">2024-12-09T21:40:36Z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