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1.d4612eb - count -5 - Sat, 25 Jan 2025 02:05:22 -0500</w:t>
      </w:r>
    </w:p>
    <w:p>
      <w:pPr>
        <w:pStyle w:val="BodyText"/>
      </w:pPr>
      <w:r>
        <w:t xml:space="preserve">Versiones Anteriores</w:t>
      </w:r>
    </w:p>
    <w:p>
      <w:pPr>
        <w:pStyle w:val="BodyText"/>
      </w:pPr>
      <w:r>
        <w:t xml:space="preserve">1.b8edc09 - Compilación para entrega: resumen (94b7a33) - Sat, 25 Jan 2025 07:04:00 +0000</w:t>
      </w:r>
    </w:p>
    <w:p>
      <w:pPr>
        <w:pStyle w:val="BodyText"/>
      </w:pPr>
      <w:r>
        <w:t xml:space="preserve">1.042eee8 - tail - Sat, 25 Jan 2025 02:03:05 -0500</w:t>
      </w:r>
    </w:p>
    <w:p>
      <w:pPr>
        <w:pStyle w:val="BodyText"/>
      </w:pPr>
      <w:r>
        <w:t xml:space="preserve">1.1f94c3e - Compilación para entrega: resumen (94b7a33) - Sat, 25 Jan 2025 06:59:41 +0000</w:t>
      </w:r>
    </w:p>
    <w:p>
      <w:pPr>
        <w:pStyle w:val="BodyText"/>
      </w:pPr>
      <w:r>
        <w:t xml:space="preserve">1.7c68356 - Compilación para entrega: version (5017140) - Sat, 25 Jan 2025 06:51:41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28" w:name="sec:informe-ejecutivo"/>
    <w:p>
      <w:pPr>
        <w:pStyle w:val="Heading1"/>
      </w:pPr>
      <w:r>
        <w:t xml:space="preserve">Informe Ejecutivo</w:t>
      </w:r>
    </w:p>
    <w:bookmarkStart w:id="27" w:name="sec:section"/>
    <w:p>
      <w:pPr>
        <w:pStyle w:val="Heading2"/>
      </w:pPr>
    </w:p>
    <w:p>
      <w:pPr>
        <w:pStyle w:val="FirstParagraph"/>
      </w:pPr>
    </w:p>
    <w:bookmarkStart w:id="26"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bookmarkEnd w:id="26"/>
    <w:bookmarkEnd w:id="27"/>
    <w:bookmarkEnd w:id="28"/>
    <w:bookmarkStart w:id="31" w:name="sec:informe-de-rendimiento-y-capacidad"/>
    <w:p>
      <w:pPr>
        <w:pStyle w:val="Heading1"/>
      </w:pPr>
      <w:r>
        <w:t xml:space="preserve">Informe de Rendimiento y Capacidad</w:t>
      </w:r>
    </w:p>
    <w:bookmarkStart w:id="30" w:name="Xbcd86caa878c9f3199a985ad5a678a6e7e70ce4"/>
    <w:p>
      <w:pPr>
        <w:pStyle w:val="Heading2"/>
      </w:pPr>
      <w:r>
        <w:t xml:space="preserve">Componentes del Informe de Rendimiento y Capacidad de la Plataforma trii</w:t>
      </w:r>
    </w:p>
    <w:p>
      <w:pPr>
        <w:pStyle w:val="FirstParagraph"/>
      </w:pP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End w:id="30"/>
    <w:bookmarkEnd w:id="31"/>
    <w:bookmarkStart w:id="38" w:name="Xf28df5c1e234d6576ca54078f41976e5efac37c"/>
    <w:p>
      <w:pPr>
        <w:pStyle w:val="Heading1"/>
      </w:pPr>
      <w:r>
        <w:t xml:space="preserve">Resultados y Conclusiones del Informe de Rendimiento</w:t>
      </w:r>
    </w:p>
    <w:bookmarkStart w:id="37" w:name="Xf3528de2171a5cce75d60211fe00e53b2548f50"/>
    <w:p>
      <w:pPr>
        <w:pStyle w:val="Heading2"/>
      </w:pPr>
      <w:r>
        <w:t xml:space="preserve">Análisis de Resultados del Rendimiento y Capacidad</w:t>
      </w:r>
    </w:p>
    <w:p>
      <w:pPr>
        <w:pStyle w:val="FirstParagraph"/>
      </w:pPr>
    </w:p>
    <w:bookmarkStart w:id="32"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5"/>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32"/>
    <w:bookmarkStart w:id="33"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3"/>
    <w:bookmarkStart w:id="36"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34"/>
      </w:r>
      <w:r>
        <w:t xml:space="preserve">. Esto es correspondiente a un incremento de ~5000 transacciones diarias a 22774</w:t>
      </w:r>
      <w:r>
        <w:rPr>
          <w:rStyle w:val="FootnoteReference"/>
        </w:rPr>
        <w:footnoteReference w:id="35"/>
      </w:r>
      <w:r>
        <w:t xml:space="preserve">, como mínimo. Lo anterior resulta en que el crecimiento operativo de trii, en términos de los servicios probados,</w:t>
      </w:r>
      <w:r>
        <w:t xml:space="preserve"> </w:t>
      </w:r>
      <w:r>
        <w:rPr>
          <w:iCs/>
          <w:i/>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36"/>
    <w:bookmarkEnd w:id="37"/>
    <w:bookmarkEnd w:id="3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35">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2025-01-25T07:06:45Z</dcterms:created>
  <dcterms:modified xsi:type="dcterms:W3CDTF">2025-01-25T07:06:45Z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