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r>
        <w:br w:type="page"/>
      </w:r>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1.df06659 - pandoc-docx-pagebreakpy - Thu, 30 Jan 2025 22:09:17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1.fb6aad4 - Compilación para entrega: titulos_: (b254be9) - Thu, 30 Jan 2025 22:06:41 +0000</w:t>
      </w:r>
    </w:p>
    <w:p>
      <w:pPr>
        <w:pStyle w:val="BodyText"/>
      </w:pPr>
      <w:r>
        <w:t xml:space="preserve">1.36f9ce6 - pip3 - Thu, 30 Jan 2025 22:05:32 +0000</w:t>
      </w:r>
    </w:p>
    <w:p>
      <w:pPr>
        <w:pStyle w:val="BodyText"/>
      </w:pPr>
      <w:r>
        <w:t xml:space="preserve">1.d77d106 - Compilación para entrega: titulos_: (b254be9) - Thu, 30 Jan 2025 22:02:36 +0000</w:t>
      </w:r>
    </w:p>
    <w:p>
      <w:pPr>
        <w:pStyle w:val="BodyText"/>
      </w:pPr>
      <w:r>
        <w:t xml:space="preserve">1.aec6269 - pip3 - Thu, 30 Jan 2025 22:01:40 +0000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p>
      <w:r>
        <w:br w:type="page"/>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p>
      <w:r>
        <w:br w:type="page"/>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p>
      <w:r>
        <w:br w:type="page"/>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2025-01-30T22:10:09Z</dcterms:created>
  <dcterms:modified xsi:type="dcterms:W3CDTF">2025-01-30T22:10:09Z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