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648d78986e6d957f2ecc14ddb0958eec13696cd">
        <w:r>
          <w:rPr>
            <w:rStyle w:val="Hyperlink"/>
          </w:rPr>
          <w:t xml:space="preserve">Informe Ejecutivo del Rendimiento Plataforma de Software Trii.co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1.e7686a1 - Compilación para entrega - Tue, 21 Jan 2025 20:03:55 +0000</w:t>
      </w:r>
    </w:p>
    <w:p>
      <w:pPr>
        <w:pStyle w:val="BodyText"/>
      </w:pPr>
      <w:r>
        <w:t xml:space="preserve">Versiones Anteriores</w:t>
      </w:r>
    </w:p>
    <w:p>
      <w:pPr>
        <w:pStyle w:val="BodyText"/>
      </w:pPr>
      <w:r>
        <w:t xml:space="preserve">1.acb8096 - Compilación para entrega - Mon, 20 Jan 2025 21:26:18 +0000</w:t>
      </w:r>
    </w:p>
    <w:p>
      <w:pPr>
        <w:pStyle w:val="BodyText"/>
      </w:pPr>
      <w:r>
        <w:t xml:space="preserve">1.f76d6ed - logo - Mon, 20 Jan 2025 16:15:07 -0500</w:t>
      </w:r>
    </w:p>
    <w:p>
      <w:pPr>
        <w:pStyle w:val="BodyText"/>
      </w:pPr>
      <w:r>
        <w:t xml:space="preserve">1.c4983db - Compilación para entrega - Mon, 20 Jan 2025 20:40:20 +0000</w:t>
      </w:r>
    </w:p>
    <w:p>
      <w:pPr>
        <w:pStyle w:val="BodyText"/>
      </w:pPr>
      <w:r>
        <w:t xml:space="preserve">1.25bdc33 - Compilación para entrega - Mon, 20 Jan 2025 19:58:03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28" w:name="X692d4213ff27bb32598b171a75bc916f2c6dadd"/>
    <w:p>
      <w:pPr>
        <w:pStyle w:val="Heading1"/>
      </w:pPr>
      <w:r>
        <w:t xml:space="preserve">Informe Ejecutivo del Rendimiento Plataforma de Software Trii.co</w:t>
      </w:r>
    </w:p>
    <w:bookmarkStart w:id="27" w:name="Xd40bc283fdd5e90450bf62374dc371d219ec347"/>
    <w:p>
      <w:pPr>
        <w:pStyle w:val="Heading2"/>
      </w:pPr>
      <w:r>
        <w:t xml:space="preserve">Componentes del Informe de Rendimiento y Capacidad de la Plataforma Trii.co</w:t>
      </w:r>
    </w:p>
    <w:p>
      <w:pPr>
        <w:pStyle w:val="FirstParagraph"/>
      </w:pPr>
    </w:p>
    <w:bookmarkStart w:id="26"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6"/>
    <w:bookmarkEnd w:id="27"/>
    <w:bookmarkEnd w:id="28"/>
    <w:bookmarkStart w:id="33" w:name="Xf28df5c1e234d6576ca54078f41976e5efac37c"/>
    <w:p>
      <w:pPr>
        <w:pStyle w:val="Heading1"/>
      </w:pPr>
      <w:r>
        <w:t xml:space="preserve">Resultados y Conclusiones del Informe de Rendimiento</w:t>
      </w:r>
    </w:p>
    <w:bookmarkStart w:id="32" w:name="Xf3528de2171a5cce75d60211fe00e53b2548f50"/>
    <w:p>
      <w:pPr>
        <w:pStyle w:val="Heading2"/>
      </w:pPr>
      <w:r>
        <w:t xml:space="preserve">Análisis de Resultados del Rendimiento y Capacidad</w:t>
      </w:r>
    </w:p>
    <w:p>
      <w:pPr>
        <w:pStyle w:val="FirstParagraph"/>
      </w:pPr>
    </w:p>
    <w:bookmarkStart w:id="29"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5"/>
        </w:numPr>
        <w:pStyle w:val="Compact"/>
      </w:pPr>
      <w:r>
        <w:t xml:space="preserve">El análisis de latencia del servicio de Ordenes indica una alta posibilidad de que exista un cuello botella, pero no afecta la estabilidad del servicio: 0 fallas en registro de actividad del sistema. Pág. 11, Informe Técnico; razón por la cual</w:t>
      </w:r>
    </w:p>
    <w:p>
      <w:pPr>
        <w:numPr>
          <w:ilvl w:val="0"/>
          <w:numId w:val="1005"/>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5"/>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29"/>
    <w:bookmarkStart w:id="30"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aceptados por los estándares de tiempo de respuesta de aplicaciones de software empresariales, en este caso particular, de tipo web para la industria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0"/>
    <w:bookmarkStart w:id="31" w:name="sec:conclusión-general"/>
    <w:p>
      <w:pPr>
        <w:pStyle w:val="Heading3"/>
      </w:pPr>
      <w:r>
        <w:t xml:space="preserve">Conclusión General</w:t>
      </w:r>
    </w:p>
    <w:p>
      <w:pPr>
        <w:pStyle w:val="FirstParagraph"/>
      </w:pPr>
      <w:r>
        <w:t xml:space="preserve">Teniendo de base los resultados de la actual prueba de rendimiento consignados en este informe, es factible indicar que el umbral de crecimiento de Trii, sin que alcance a comprometer la estabilidad de la Aplicación, en términos de nivel de ocupación de recursos y tasa de éxito, podría llegar a ser de entre el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31"/>
    <w:bookmarkEnd w:id="32"/>
    <w:bookmarkEnd w:id="33"/>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2025-01-21T20:09:51Z</dcterms:created>
  <dcterms:modified xsi:type="dcterms:W3CDTF">2025-01-21T20:09:51Z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Informe Ejecutivo</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