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3"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p>
      <w:pPr>
        <w:pStyle w:val="BodyText"/>
      </w:pPr>
      <w:r>
        <w:t xml:space="preserve">Los casos de uso asociados al requerimiento se listan más adelante.</w:t>
      </w:r>
    </w:p>
    <w:bookmarkEnd w:id="26"/>
    <w:bookmarkStart w:id="31" w:name="sec:solución-1"/>
    <w:p>
      <w:pPr>
        <w:pStyle w:val="Heading3"/>
      </w:pPr>
      <w:r>
        <w:t xml:space="preserve">Solución 1</w:t>
      </w:r>
    </w:p>
    <w:bookmarkStart w:id="27" w:name="sec:sint1.-integración.-ingreso-a-conti"/>
    <w:p>
      <w:pPr>
        <w:pStyle w:val="Heading4"/>
      </w:pPr>
      <w:r>
        <w:t xml:space="preserve">SINT1. Integración. Ingreso a Conti</w:t>
      </w:r>
    </w:p>
    <w:p>
      <w:pPr>
        <w:pStyle w:val="FirstParagraph"/>
      </w:pPr>
      <w:r>
        <w:t xml:space="preserve">Tareas de desarrollo</w:t>
      </w:r>
    </w:p>
    <w:p>
      <w:pPr>
        <w:numPr>
          <w:ilvl w:val="0"/>
          <w:numId w:val="1006"/>
        </w:numPr>
        <w:pStyle w:val="Compact"/>
      </w:pPr>
      <w:r>
        <w:t xml:space="preserve">Interoperabilidad IOP1. Transporte / Entrega Consulta Negocio</w:t>
      </w:r>
    </w:p>
    <w:p>
      <w:pPr>
        <w:numPr>
          <w:ilvl w:val="0"/>
          <w:numId w:val="1006"/>
        </w:numPr>
        <w:pStyle w:val="Compact"/>
      </w:pPr>
      <w:r>
        <w:t xml:space="preserve">Modelo de datos (XML, RBDMS, …)</w:t>
      </w:r>
    </w:p>
    <w:p>
      <w:pPr>
        <w:numPr>
          <w:ilvl w:val="0"/>
          <w:numId w:val="1006"/>
        </w:numPr>
        <w:pStyle w:val="Compact"/>
      </w:pPr>
      <w:r>
        <w:t xml:space="preserve">Esquema de datos (XSD, DTD, JSON-E…)</w:t>
      </w:r>
    </w:p>
    <w:p>
      <w:pPr>
        <w:numPr>
          <w:ilvl w:val="0"/>
          <w:numId w:val="1006"/>
        </w:numPr>
        <w:pStyle w:val="Compact"/>
      </w:pPr>
      <w:r>
        <w:t xml:space="preserve">Contratos de interoperabilidad (WSDL, API…)</w:t>
      </w:r>
    </w:p>
    <w:p>
      <w:pPr>
        <w:numPr>
          <w:ilvl w:val="0"/>
          <w:numId w:val="1006"/>
        </w:numPr>
        <w:pStyle w:val="Compact"/>
      </w:pPr>
      <w:r>
        <w:t xml:space="preserve">Mensajes petición IN (API, XML…)</w:t>
      </w:r>
    </w:p>
    <w:p>
      <w:pPr>
        <w:numPr>
          <w:ilvl w:val="0"/>
          <w:numId w:val="1006"/>
        </w:numPr>
        <w:pStyle w:val="Compact"/>
      </w:pPr>
      <w:r>
        <w:t xml:space="preserve">Mensajes respuesta OUT (API, XML…)</w:t>
      </w:r>
    </w:p>
    <w:p>
      <w:pPr>
        <w:numPr>
          <w:ilvl w:val="0"/>
          <w:numId w:val="1006"/>
        </w:numPr>
        <w:pStyle w:val="Compact"/>
      </w:pPr>
      <w:r>
        <w:t xml:space="preserve">Mensajes excepción (API, XML…)</w:t>
      </w:r>
    </w:p>
    <w:p>
      <w:pPr>
        <w:numPr>
          <w:ilvl w:val="0"/>
          <w:numId w:val="1006"/>
        </w:numPr>
        <w:pStyle w:val="Compact"/>
      </w:pPr>
      <w:r>
        <w:t xml:space="preserve">Transporte (REST, SOAP)</w:t>
      </w:r>
    </w:p>
    <w:p>
      <w:pPr>
        <w:numPr>
          <w:ilvl w:val="0"/>
          <w:numId w:val="1006"/>
        </w:numPr>
        <w:pStyle w:val="Compact"/>
      </w:pPr>
      <w:r>
        <w:t xml:space="preserve">Función lógica (JEE, …)</w:t>
      </w:r>
    </w:p>
    <w:p>
      <w:pPr>
        <w:numPr>
          <w:ilvl w:val="0"/>
          <w:numId w:val="1006"/>
        </w:numPr>
        <w:pStyle w:val="Compact"/>
      </w:pPr>
      <w:r>
        <w:t xml:space="preserve">Registro y envío de actividad</w:t>
      </w:r>
    </w:p>
    <w:bookmarkEnd w:id="27"/>
    <w:bookmarkStart w:id="28"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sec:sint3.-integración.-radicar-ítem"/>
    <w:p>
      <w:pPr>
        <w:pStyle w:val="Heading4"/>
      </w:pPr>
      <w:r>
        <w:t xml:space="preserve">SINT3. Integración. Radicar ítem</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End w:id="31"/>
    <w:bookmarkStart w:id="3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2"/>
    <w:bookmarkEnd w:id="33"/>
    <w:bookmarkEnd w:id="34"/>
    <w:bookmarkStart w:id="48" w:name="sec:requerimientos-de-integración-jep-1"/>
    <w:p>
      <w:pPr>
        <w:pStyle w:val="Heading1"/>
      </w:pPr>
      <w:r>
        <w:t xml:space="preserve">Requerimientos de Integración JEP</w:t>
      </w:r>
    </w:p>
    <w:p>
      <w:pPr>
        <w:numPr>
          <w:ilvl w:val="0"/>
          <w:numId w:val="1010"/>
        </w:numPr>
        <w:pStyle w:val="Compact"/>
      </w:pPr>
      <w:hyperlink w:anchor="Introducción">
        <w:r>
          <w:rPr>
            <w:rStyle w:val="Hyperlink"/>
          </w:rPr>
          <w:t xml:space="preserve">Introducción</w:t>
        </w:r>
      </w:hyperlink>
    </w:p>
    <w:p>
      <w:pPr>
        <w:numPr>
          <w:ilvl w:val="0"/>
          <w:numId w:val="1010"/>
        </w:numPr>
        <w:pStyle w:val="Compact"/>
      </w:pPr>
      <w:hyperlink w:anchor="problema-2-grouping">
        <w:r>
          <w:rPr>
            <w:rStyle w:val="Hyperlink"/>
          </w:rPr>
          <w:t xml:space="preserve">Problema 2 (Grouping)</w:t>
        </w:r>
      </w:hyperlink>
    </w:p>
    <w:p>
      <w:pPr>
        <w:numPr>
          <w:ilvl w:val="1"/>
          <w:numId w:val="1011"/>
        </w:numPr>
        <w:pStyle w:val="Compact"/>
      </w:pPr>
      <w:hyperlink w:anchor="contractual-goal">
        <w:r>
          <w:rPr>
            <w:rStyle w:val="Hyperlink"/>
          </w:rPr>
          <w:t xml:space="preserve">Contractual (Goal)</w:t>
        </w:r>
      </w:hyperlink>
    </w:p>
    <w:p>
      <w:pPr>
        <w:numPr>
          <w:ilvl w:val="1"/>
          <w:numId w:val="1011"/>
        </w:numPr>
        <w:pStyle w:val="Compact"/>
      </w:pPr>
      <w:hyperlink w:anchor="apoyar-la-gestión-médica-value">
        <w:r>
          <w:rPr>
            <w:rStyle w:val="Hyperlink"/>
          </w:rPr>
          <w:t xml:space="preserve">Apoyar la gestión médica (Value)</w:t>
        </w:r>
      </w:hyperlink>
    </w:p>
    <w:p>
      <w:pPr>
        <w:numPr>
          <w:ilvl w:val="1"/>
          <w:numId w:val="1011"/>
        </w:numPr>
        <w:pStyle w:val="Compact"/>
      </w:pPr>
      <w:hyperlink w:anchor="levantamiento-constraint">
        <w:r>
          <w:rPr>
            <w:rStyle w:val="Hyperlink"/>
          </w:rPr>
          <w:t xml:space="preserve">Levantamiento (Constraint)</w:t>
        </w:r>
      </w:hyperlink>
    </w:p>
    <w:p>
      <w:pPr>
        <w:numPr>
          <w:ilvl w:val="1"/>
          <w:numId w:val="1011"/>
        </w:numPr>
        <w:pStyle w:val="Compact"/>
      </w:pPr>
      <w:hyperlink w:anchor="Xe4d73b443a1d3869ce11df04f74bf4aa6934e39">
        <w:r>
          <w:rPr>
            <w:rStyle w:val="Hyperlink"/>
          </w:rPr>
          <w:t xml:space="preserve">REQR11. Integración gestión médica (Requirement)</w:t>
        </w:r>
      </w:hyperlink>
    </w:p>
    <w:p>
      <w:pPr>
        <w:numPr>
          <w:ilvl w:val="1"/>
          <w:numId w:val="1011"/>
        </w:numPr>
        <w:pStyle w:val="Compact"/>
      </w:pPr>
      <w:hyperlink w:anchor="solución-3-grouping">
        <w:r>
          <w:rPr>
            <w:rStyle w:val="Hyperlink"/>
          </w:rPr>
          <w:t xml:space="preserve">Solución 3 (Grouping)</w:t>
        </w:r>
      </w:hyperlink>
    </w:p>
    <w:p>
      <w:pPr>
        <w:numPr>
          <w:ilvl w:val="2"/>
          <w:numId w:val="1012"/>
        </w:numPr>
        <w:pStyle w:val="Compact"/>
      </w:pPr>
      <w:hyperlink w:anchor="Xe1bbd69715a6dcf9f1e938019e9d766a3da00b5">
        <w:r>
          <w:rPr>
            <w:rStyle w:val="Hyperlink"/>
          </w:rPr>
          <w:t xml:space="preserve">SINT10. Integrar Radicar MP (Application Service)</w:t>
        </w:r>
      </w:hyperlink>
    </w:p>
    <w:p>
      <w:pPr>
        <w:numPr>
          <w:ilvl w:val="2"/>
          <w:numId w:val="1012"/>
        </w:numPr>
        <w:pStyle w:val="Compact"/>
      </w:pPr>
      <w:hyperlink w:anchor="X701cdcddb51d94931c7d7637b105a537b7549f4">
        <w:r>
          <w:rPr>
            <w:rStyle w:val="Hyperlink"/>
          </w:rPr>
          <w:t xml:space="preserve">SINT11. Integrar Indexar Imagen (Application Service)</w:t>
        </w:r>
      </w:hyperlink>
    </w:p>
    <w:bookmarkStart w:id="38" w:name="sec:introducción-1"/>
    <w:p>
      <w:pPr>
        <w:pStyle w:val="Heading2"/>
      </w:pPr>
      <w:r>
        <w:t xml:space="preserve">Introducción</w:t>
      </w:r>
    </w:p>
    <w:p>
      <w:pPr>
        <w:pStyle w:val="CaptionedFigure"/>
      </w:pPr>
      <w:r>
        <w:drawing>
          <wp:inline>
            <wp:extent cx="5207000" cy="2592209"/>
            <wp:effectExtent b="0" l="0" r="0" t="0"/>
            <wp:docPr descr="05.REQR.1n.1b. Requerimiento" title="" id="36" name="Picture"/>
            <a:graphic>
              <a:graphicData uri="http://schemas.openxmlformats.org/drawingml/2006/picture">
                <pic:pic>
                  <pic:nvPicPr>
                    <pic:cNvPr descr="03.1b.contd.vista.png" id="37" name="Picture"/>
                    <pic:cNvPicPr>
                      <a:picLocks noChangeArrowheads="1" noChangeAspect="1"/>
                    </pic:cNvPicPr>
                  </pic:nvPicPr>
                  <pic:blipFill>
                    <a:blip r:embed="rId35"/>
                    <a:stretch>
                      <a:fillRect/>
                    </a:stretch>
                  </pic:blipFill>
                  <pic:spPr bwMode="auto">
                    <a:xfrm>
                      <a:off x="0" y="0"/>
                      <a:ext cx="5207000" cy="2592209"/>
                    </a:xfrm>
                    <a:prstGeom prst="rect">
                      <a:avLst/>
                    </a:prstGeom>
                    <a:noFill/>
                    <a:ln w="9525">
                      <a:noFill/>
                      <a:headEnd/>
                      <a:tailEnd/>
                    </a:ln>
                  </pic:spPr>
                </pic:pic>
              </a:graphicData>
            </a:graphic>
          </wp:inline>
        </w:drawing>
      </w:r>
    </w:p>
    <w:p>
      <w:pPr>
        <w:pStyle w:val="ImageCaption"/>
      </w:pPr>
      <w:r>
        <w:t xml:space="preserve">05.REQR.1n.1b. Requerimiento</w:t>
      </w:r>
    </w:p>
    <w:p>
      <w:pPr>
        <w:pStyle w:val="BodyText"/>
      </w:pPr>
      <w:r>
        <w:t xml:space="preserve">Del alcance del proyecto,</w:t>
      </w:r>
    </w:p>
    <w:p>
      <w:pPr>
        <w:numPr>
          <w:ilvl w:val="0"/>
          <w:numId w:val="1013"/>
        </w:numPr>
        <w:pStyle w:val="Compact"/>
      </w:pPr>
      <w:r>
        <w:t xml:space="preserve">Implementación de 20 o más servicios de integración al 31 de diciembre del 2024.</w:t>
      </w:r>
    </w:p>
    <w:p>
      <w:pPr>
        <w:numPr>
          <w:ilvl w:val="0"/>
          <w:numId w:val="1013"/>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4"/>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4"/>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4"/>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38"/>
    <w:bookmarkStart w:id="47" w:name="sec:problema-2"/>
    <w:p>
      <w:pPr>
        <w:pStyle w:val="Heading2"/>
      </w:pPr>
      <w:r>
        <w:t xml:space="preserve">Problema 2</w:t>
      </w:r>
    </w:p>
    <w:bookmarkStart w:id="39" w:name="sec:contractual-1"/>
    <w:p>
      <w:pPr>
        <w:pStyle w:val="Heading3"/>
      </w:pPr>
      <w:r>
        <w:t xml:space="preserve">Contractual</w:t>
      </w:r>
    </w:p>
    <w:p>
      <w:pPr>
        <w:pStyle w:val="FirstParagraph"/>
      </w:pPr>
      <w:r>
        <w:t xml:space="preserve">Objetivo: el requerimiento tiene carácter contractual.</w:t>
      </w:r>
    </w:p>
    <w:bookmarkEnd w:id="39"/>
    <w:bookmarkStart w:id="40" w:name="sec:apoyar-la-gestión-médica"/>
    <w:p>
      <w:pPr>
        <w:pStyle w:val="Heading3"/>
      </w:pPr>
      <w:r>
        <w:t xml:space="preserve">Apoyar la gestión médica</w:t>
      </w:r>
    </w:p>
    <w:p>
      <w:pPr>
        <w:pStyle w:val="FirstParagraph"/>
      </w:pPr>
      <w:r>
        <w:t xml:space="preserve">Valor: el requerimientos genera entregables de valor para la gestión médica de JEP.</w:t>
      </w:r>
    </w:p>
    <w:bookmarkEnd w:id="40"/>
    <w:bookmarkStart w:id="41" w:name="sec:levantamiento-1"/>
    <w:p>
      <w:pPr>
        <w:pStyle w:val="Heading3"/>
      </w:pPr>
      <w:r>
        <w:t xml:space="preserve">Levantamiento</w:t>
      </w:r>
    </w:p>
    <w:p>
      <w:pPr>
        <w:pStyle w:val="FirstParagraph"/>
      </w:pPr>
      <w:r>
        <w:t xml:space="preserve">Restricción: el requerimiento está condicionado por la completitud del levantamiento.</w:t>
      </w:r>
    </w:p>
    <w:bookmarkEnd w:id="41"/>
    <w:bookmarkStart w:id="42" w:name="sec:reqr11.-integración-gestión-médica"/>
    <w:p>
      <w:pPr>
        <w:pStyle w:val="Heading3"/>
      </w:pPr>
      <w:r>
        <w:t xml:space="preserve">REQR11. Integración gestión médica</w:t>
      </w:r>
    </w:p>
    <w:p>
      <w:pPr>
        <w:pStyle w:val="FirstParagraph"/>
      </w:pPr>
      <w:r>
        <w:t xml:space="preserve">Documentación del requerimiento de integración de la gestión médica JEP. Exposición de las capacidades Radicar MP y Indexar Imagen.</w:t>
      </w:r>
    </w:p>
    <w:p>
      <w:pPr>
        <w:pStyle w:val="BodyText"/>
      </w:pPr>
      <w:r>
        <w:t xml:space="preserve">Fuente: gestionMedidaProteccion (pdf).</w:t>
      </w:r>
    </w:p>
    <w:bookmarkEnd w:id="42"/>
    <w:bookmarkStart w:id="43" w:name="X8ae3bc333c0d418fc477fe355d0aabfb3b51768"/>
    <w:p>
      <w:pPr>
        <w:pStyle w:val="Heading3"/>
      </w:pPr>
      <w:r>
        <w:t xml:space="preserve">Índice de la documentación (casos de uso)</w:t>
      </w:r>
    </w:p>
    <w:p>
      <w:pPr>
        <w:numPr>
          <w:ilvl w:val="0"/>
          <w:numId w:val="1015"/>
        </w:numPr>
        <w:pStyle w:val="Compact"/>
      </w:pPr>
      <w:r>
        <w:t xml:space="preserve">Caso de Uso 1. Integrar Radicar MP</w:t>
      </w:r>
    </w:p>
    <w:p>
      <w:pPr>
        <w:numPr>
          <w:ilvl w:val="0"/>
          <w:numId w:val="1015"/>
        </w:numPr>
        <w:pStyle w:val="Compact"/>
      </w:pPr>
      <w:r>
        <w:t xml:space="preserve">Caso de Uso 2. Integrar Indexar Imagen</w:t>
      </w:r>
    </w:p>
    <w:bookmarkEnd w:id="43"/>
    <w:bookmarkStart w:id="46" w:name="sec:solución-3"/>
    <w:p>
      <w:pPr>
        <w:pStyle w:val="Heading3"/>
      </w:pPr>
      <w:r>
        <w:t xml:space="preserve">Solución 3</w:t>
      </w:r>
    </w:p>
    <w:bookmarkStart w:id="44" w:name="sec:sint10.-integrar-radicar-mp"/>
    <w:p>
      <w:pPr>
        <w:pStyle w:val="Heading4"/>
      </w:pPr>
      <w:r>
        <w:t xml:space="preserve">SINT10. Integrar Radicar MP</w:t>
      </w:r>
    </w:p>
    <w:p>
      <w:pPr>
        <w:pStyle w:val="FirstParagraph"/>
      </w:pPr>
      <w:r>
        <w:t xml:space="preserve">Tareas de desarrollo</w:t>
      </w:r>
    </w:p>
    <w:p>
      <w:pPr>
        <w:numPr>
          <w:ilvl w:val="0"/>
          <w:numId w:val="1016"/>
        </w:numPr>
        <w:pStyle w:val="Compact"/>
      </w:pPr>
      <w:r>
        <w:t xml:space="preserve">Interoperabilidad IOP1. Transporte / Entrega Consulta Negocio</w:t>
      </w:r>
    </w:p>
    <w:p>
      <w:pPr>
        <w:numPr>
          <w:ilvl w:val="0"/>
          <w:numId w:val="1016"/>
        </w:numPr>
        <w:pStyle w:val="Compact"/>
      </w:pPr>
      <w:r>
        <w:t xml:space="preserve">Modelo de datos (XML, RBDMS, …)</w:t>
      </w:r>
    </w:p>
    <w:p>
      <w:pPr>
        <w:numPr>
          <w:ilvl w:val="0"/>
          <w:numId w:val="1016"/>
        </w:numPr>
        <w:pStyle w:val="Compact"/>
      </w:pPr>
      <w:r>
        <w:t xml:space="preserve">Esquema de datos (XSD, DTD, JSON-E…)</w:t>
      </w:r>
    </w:p>
    <w:p>
      <w:pPr>
        <w:numPr>
          <w:ilvl w:val="0"/>
          <w:numId w:val="1016"/>
        </w:numPr>
        <w:pStyle w:val="Compact"/>
      </w:pPr>
      <w:r>
        <w:t xml:space="preserve">Contratos de interoperabilidad (WSDL, API…)</w:t>
      </w:r>
    </w:p>
    <w:p>
      <w:pPr>
        <w:numPr>
          <w:ilvl w:val="0"/>
          <w:numId w:val="1016"/>
        </w:numPr>
        <w:pStyle w:val="Compact"/>
      </w:pPr>
      <w:r>
        <w:t xml:space="preserve">Mensajes petición IN (API, XML…)</w:t>
      </w:r>
    </w:p>
    <w:p>
      <w:pPr>
        <w:numPr>
          <w:ilvl w:val="0"/>
          <w:numId w:val="1016"/>
        </w:numPr>
        <w:pStyle w:val="Compact"/>
      </w:pPr>
      <w:r>
        <w:t xml:space="preserve">Mensajes respuesta OUT (API, XML…)</w:t>
      </w:r>
    </w:p>
    <w:p>
      <w:pPr>
        <w:numPr>
          <w:ilvl w:val="0"/>
          <w:numId w:val="1016"/>
        </w:numPr>
        <w:pStyle w:val="Compact"/>
      </w:pPr>
      <w:r>
        <w:t xml:space="preserve">Mensajes excepción (API, XML…)</w:t>
      </w:r>
    </w:p>
    <w:p>
      <w:pPr>
        <w:numPr>
          <w:ilvl w:val="0"/>
          <w:numId w:val="1016"/>
        </w:numPr>
        <w:pStyle w:val="Compact"/>
      </w:pPr>
      <w:r>
        <w:t xml:space="preserve">Transporte (REST, SOAP)</w:t>
      </w:r>
    </w:p>
    <w:p>
      <w:pPr>
        <w:numPr>
          <w:ilvl w:val="0"/>
          <w:numId w:val="1016"/>
        </w:numPr>
        <w:pStyle w:val="Compact"/>
      </w:pPr>
      <w:r>
        <w:t xml:space="preserve">Función lógica (JEE, …)</w:t>
      </w:r>
    </w:p>
    <w:p>
      <w:pPr>
        <w:numPr>
          <w:ilvl w:val="0"/>
          <w:numId w:val="1016"/>
        </w:numPr>
        <w:pStyle w:val="Compact"/>
      </w:pPr>
      <w:r>
        <w:t xml:space="preserve">Registro y envío de actividad</w:t>
      </w:r>
    </w:p>
    <w:bookmarkEnd w:id="44"/>
    <w:bookmarkStart w:id="45" w:name="sec:sint11.-integrar-indexar-imagen"/>
    <w:p>
      <w:pPr>
        <w:pStyle w:val="Heading4"/>
      </w:pPr>
      <w:r>
        <w:t xml:space="preserve">SINT11. Integrar Indexar Imagen</w:t>
      </w:r>
    </w:p>
    <w:p>
      <w:pPr>
        <w:pStyle w:val="FirstParagraph"/>
      </w:pPr>
      <w:r>
        <w:t xml:space="preserve">Tareas de desarrollo</w:t>
      </w:r>
    </w:p>
    <w:p>
      <w:pPr>
        <w:numPr>
          <w:ilvl w:val="0"/>
          <w:numId w:val="1017"/>
        </w:numPr>
        <w:pStyle w:val="Compact"/>
      </w:pPr>
      <w:r>
        <w:t xml:space="preserve">Interoperabilidad IOP1. Transporte / Entrega Consulta Negocio</w:t>
      </w:r>
    </w:p>
    <w:p>
      <w:pPr>
        <w:numPr>
          <w:ilvl w:val="0"/>
          <w:numId w:val="1017"/>
        </w:numPr>
        <w:pStyle w:val="Compact"/>
      </w:pPr>
      <w:r>
        <w:t xml:space="preserve">Modelo de datos (XML, RBDMS, …)</w:t>
      </w:r>
    </w:p>
    <w:p>
      <w:pPr>
        <w:numPr>
          <w:ilvl w:val="0"/>
          <w:numId w:val="1017"/>
        </w:numPr>
        <w:pStyle w:val="Compact"/>
      </w:pPr>
      <w:r>
        <w:t xml:space="preserve">Esquema de datos (XSD, DTD, JSON-E…)</w:t>
      </w:r>
    </w:p>
    <w:p>
      <w:pPr>
        <w:numPr>
          <w:ilvl w:val="0"/>
          <w:numId w:val="1017"/>
        </w:numPr>
        <w:pStyle w:val="Compact"/>
      </w:pPr>
      <w:r>
        <w:t xml:space="preserve">Contratos de interoperabilidad (WSDL, API…)</w:t>
      </w:r>
    </w:p>
    <w:p>
      <w:pPr>
        <w:numPr>
          <w:ilvl w:val="0"/>
          <w:numId w:val="1017"/>
        </w:numPr>
        <w:pStyle w:val="Compact"/>
      </w:pPr>
      <w:r>
        <w:t xml:space="preserve">Mensajes petición IN (API, XML…)</w:t>
      </w:r>
    </w:p>
    <w:p>
      <w:pPr>
        <w:numPr>
          <w:ilvl w:val="0"/>
          <w:numId w:val="1017"/>
        </w:numPr>
        <w:pStyle w:val="Compact"/>
      </w:pPr>
      <w:r>
        <w:t xml:space="preserve">Mensajes respuesta OUT (API, XML…)</w:t>
      </w:r>
    </w:p>
    <w:p>
      <w:pPr>
        <w:numPr>
          <w:ilvl w:val="0"/>
          <w:numId w:val="1017"/>
        </w:numPr>
        <w:pStyle w:val="Compact"/>
      </w:pPr>
      <w:r>
        <w:t xml:space="preserve">Mensajes excepción (API, XML…)</w:t>
      </w:r>
    </w:p>
    <w:p>
      <w:pPr>
        <w:numPr>
          <w:ilvl w:val="0"/>
          <w:numId w:val="1017"/>
        </w:numPr>
        <w:pStyle w:val="Compact"/>
      </w:pPr>
      <w:r>
        <w:t xml:space="preserve">Transporte (REST, SOAP)</w:t>
      </w:r>
    </w:p>
    <w:p>
      <w:pPr>
        <w:numPr>
          <w:ilvl w:val="0"/>
          <w:numId w:val="1017"/>
        </w:numPr>
        <w:pStyle w:val="Compact"/>
      </w:pPr>
      <w:r>
        <w:t xml:space="preserve">Función lógica (JEE, …)</w:t>
      </w:r>
    </w:p>
    <w:p>
      <w:pPr>
        <w:numPr>
          <w:ilvl w:val="0"/>
          <w:numId w:val="1017"/>
        </w:numPr>
        <w:pStyle w:val="Compact"/>
      </w:pPr>
      <w:r>
        <w:t xml:space="preserve">Registro y envío de actividad</w:t>
      </w:r>
    </w:p>
    <w:bookmarkEnd w:id="45"/>
    <w:bookmarkEnd w:id="46"/>
    <w:bookmarkEnd w:id="47"/>
    <w:bookmarkEnd w:id="48"/>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2024-11-08T05:15:11Z</dcterms:created>
  <dcterms:modified xsi:type="dcterms:W3CDTF">2024-11-08T05:15:11Z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Figura</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Lista de Figuras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Listas del Documento</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Lista de Tablas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ititleDelimt</vt:lpwstr>
  </property>
  <property fmtid="{D5CDD505-2E9C-101B-9397-08002B2CF9AE}" pid="63" name="tableTitle">
    <vt:lpwstr>Tabla</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