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1.png" ContentType="image/png"/>
  <Override PartName="/word/media/rId73.png" ContentType="image/png"/>
  <Override PartName="/word/media/rId113.png" ContentType="image/png"/>
  <Override PartName="/word/media/rId55.png" ContentType="image/png"/>
  <Override PartName="/word/media/rId87.png" ContentType="image/png"/>
  <Override PartName="/word/media/rId1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1.9faf0a6</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25</w:t>
      </w:r>
      <w:r>
        <w:t xml:space="preserve"> </w:t>
      </w:r>
      <w:r>
        <w:t xml:space="preserve">Nov</w:t>
      </w:r>
      <w:r>
        <w:t xml:space="preserve"> </w:t>
      </w:r>
      <w:r>
        <w:t xml:space="preserve">2024</w:t>
      </w:r>
      <w:r>
        <w:t xml:space="preserve"> </w:t>
      </w:r>
      <w:r>
        <w:t xml:space="preserve">21:38:06</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1.9faf0a6 - Compilación para entrega - Mon, 25 Nov 2024 21:38:06 +0000</w:t>
      </w:r>
    </w:p>
    <w:p>
      <w:pPr>
        <w:pStyle w:val="BodyText"/>
      </w:pPr>
      <w:r>
        <w:t xml:space="preserve">Versiones Anteriores</w:t>
      </w:r>
    </w:p>
    <w:p>
      <w:pPr>
        <w:pStyle w:val="BodyText"/>
      </w:pPr>
      <w:r>
        <w:t xml:space="preserve">1.80fb87f - Compilación para entrega - Mon, 25 Nov 2024 20:51:13 +0000</w:t>
      </w:r>
    </w:p>
    <w:p>
      <w:pPr>
        <w:pStyle w:val="BodyText"/>
      </w:pPr>
      <w:r>
        <w:t xml:space="preserve">1.3201f2d - Compilación para entrega - Mon, 25 Nov 2024 20:37:10 +0000</w:t>
      </w:r>
    </w:p>
    <w:p>
      <w:pPr>
        <w:pStyle w:val="BodyText"/>
      </w:pPr>
      <w:r>
        <w:t xml:space="preserve">1.0ffd864 - Compilación para entrega - Mon, 25 Nov 2024 20:03:17 +0000</w:t>
      </w:r>
    </w:p>
    <w:p>
      <w:pPr>
        <w:pStyle w:val="BodyText"/>
      </w:pPr>
      <w:r>
        <w:t xml:space="preserve">1.5fc7144 - Compilación para entrega - Mon, 25 Nov 2024 19:50:29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40" w:name="sec:gestión-de-trabajo-del-proyecto"/>
    <w:p>
      <w:pPr>
        <w:pStyle w:val="Heading1"/>
      </w:pPr>
      <w:r>
        <w:t xml:space="preserve">Gestión de Trabajo del Proyecto</w:t>
      </w:r>
    </w:p>
    <w:bookmarkStart w:id="31"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catálogo-de-elementos"/>
    <w:p>
      <w:pPr>
        <w:pStyle w:val="Heading3"/>
      </w:pPr>
      <w:r>
        <w:t xml:space="preserve">Catálogo de Elementos</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 ### 2. 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28"/>
    <w:bookmarkStart w:id="29" w:name="sec:salidas"/>
    <w:p>
      <w:pPr>
        <w:pStyle w:val="Heading3"/>
      </w:pPr>
      <w: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bookmarkEnd w:id="29"/>
    <w:bookmarkStart w:id="30" w:name="sec:kpi"/>
    <w:p>
      <w:pPr>
        <w:pStyle w:val="Heading3"/>
      </w:pPr>
      <w: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DIS.Arquitectura / diseño</w:t>
      </w:r>
      <w:r>
        <w:t xml:space="preserve">. ### KPI</w:t>
      </w:r>
    </w:p>
    <w:p>
      <w:pPr>
        <w:numPr>
          <w:ilvl w:val="0"/>
          <w:numId w:val="1004"/>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4"/>
        </w:numPr>
      </w:pPr>
      <w:r>
        <w:rPr>
          <w:bCs/>
          <w:b/>
        </w:rPr>
        <w:t xml:space="preserve">MET.DEC</w:t>
      </w:r>
      <w:r>
        <w:t xml:space="preserve">.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DEV.Implementación</w:t>
      </w:r>
      <w:r>
        <w:t xml:space="preserve">. ### KPI</w:t>
      </w:r>
    </w:p>
    <w:p>
      <w:pPr>
        <w:numPr>
          <w:ilvl w:val="0"/>
          <w:numId w:val="1004"/>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4"/>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4"/>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4"/>
        </w:numPr>
      </w:pPr>
      <w:r>
        <w:rPr>
          <w:bCs/>
          <w:b/>
        </w:rPr>
        <w:t xml:space="preserve">MET.VEL</w:t>
      </w:r>
      <w:r>
        <w:t xml:space="preserve">.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4"/>
        </w:numPr>
      </w:pPr>
      <w:r>
        <w:rPr>
          <w:bCs/>
          <w:b/>
        </w:rPr>
        <w:t xml:space="preserve">Plan Producción: Scrum y Gerencia</w:t>
      </w:r>
      <w:r>
        <w:t xml:space="preserve">.</w:t>
      </w:r>
    </w:p>
    <w:p>
      <w:pPr>
        <w:numPr>
          <w:ilvl w:val="0"/>
          <w:numId w:val="1004"/>
        </w:numPr>
      </w:pPr>
      <w:r>
        <w:rPr>
          <w:bCs/>
          <w:b/>
        </w:rPr>
        <w:t xml:space="preserve">Plan Producción: Ingeniería (Red Hat DevOps)</w:t>
      </w:r>
      <w:r>
        <w:t xml:space="preserve">.</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DEV</w:t>
      </w:r>
      <w:r>
        <w:t xml:space="preserve">. Alcance de QA unitaria</w:t>
      </w:r>
    </w:p>
    <w:p>
      <w:pPr>
        <w:numPr>
          <w:ilvl w:val="0"/>
          <w:numId w:val="1004"/>
        </w:numPr>
      </w:pPr>
      <w:r>
        <w:rPr>
          <w:bCs/>
          <w:b/>
        </w:rPr>
        <w:t xml:space="preserve">CI/CD</w:t>
      </w:r>
      <w:r>
        <w:t xml:space="preserve">. Actividades DevOps del ciclo o iteración de implementación.</w:t>
      </w:r>
    </w:p>
    <w:bookmarkEnd w:id="30"/>
    <w:bookmarkEnd w:id="31"/>
    <w:bookmarkStart w:id="39"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5" w:name="Xc7602b92d361107e125a67412cf614997a1d27a"/>
    <w:p>
      <w:pPr>
        <w:pStyle w:val="Heading3"/>
      </w:pPr>
      <w:r>
        <w:t xml:space="preserve">Mapeo del Modelo con Herramienta de Registro del Trabajo (az devops)</w:t>
      </w:r>
    </w:p>
    <w:p>
      <w:pPr>
        <w:numPr>
          <w:ilvl w:val="0"/>
          <w:numId w:val="1005"/>
        </w:numPr>
        <w:pStyle w:val="Compact"/>
      </w:pPr>
      <w:r>
        <w:t xml:space="preserve">Épica = Versión de entrega de la solución como un todo</w:t>
      </w:r>
    </w:p>
    <w:p>
      <w:pPr>
        <w:numPr>
          <w:ilvl w:val="0"/>
          <w:numId w:val="1005"/>
        </w:numPr>
        <w:pStyle w:val="Compact"/>
      </w:pPr>
      <w:r>
        <w:t xml:space="preserve">Característica = Requerimiento de integración, del cual pueden desprenderse varias integraciones puntuales.</w:t>
      </w:r>
    </w:p>
    <w:p>
      <w:pPr>
        <w:numPr>
          <w:ilvl w:val="0"/>
          <w:numId w:val="1005"/>
        </w:numPr>
        <w:pStyle w:val="Compact"/>
      </w:pPr>
      <w:r>
        <w:t xml:space="preserve">HU = Una integración puntual proveniente de un requerimiento, ej.: ingreso Conti, Consulta campos, Radicar ítem, Generación documentos…</w:t>
      </w:r>
    </w:p>
    <w:p>
      <w:pPr>
        <w:numPr>
          <w:ilvl w:val="0"/>
          <w:numId w:val="1005"/>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3" name="Picture"/>
            <a:graphic>
              <a:graphicData uri="http://schemas.openxmlformats.org/drawingml/2006/picture">
                <pic:pic>
                  <pic:nvPicPr>
                    <pic:cNvPr descr="images/04.ING.2n.1b.Modeloproducción.png" id="34" name="Picture"/>
                    <pic:cNvPicPr>
                      <a:picLocks noChangeArrowheads="1" noChangeAspect="1"/>
                    </pic:cNvPicPr>
                  </pic:nvPicPr>
                  <pic:blipFill>
                    <a:blip r:embed="rId32"/>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5"/>
    <w:bookmarkStart w:id="36" w:name="sec:catálogo-de-elementos-1"/>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pPr>
          </w:p>
        </w:tc>
        <w:tc>
          <w:tcPr/>
          <w:p>
            <w:pPr>
              <w:pStyle w:val="Compact"/>
            </w:pPr>
          </w:p>
        </w:tc>
        <w:tc>
          <w:tcPr/>
          <w:p>
            <w:pPr>
              <w:pStyle w:val="Compact"/>
            </w:pP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p>
        </w:tc>
      </w:tr>
    </w:tbl>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MET.VEL | Business Object |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r>
        <w:t xml:space="preserve"> </w:t>
      </w:r>
      <w:r>
        <w:t xml:space="preserve">|</w:t>
      </w:r>
      <w:r>
        <w:t xml:space="preserve"> </w:t>
      </w:r>
      <w:r>
        <w:t xml:space="preserve">| ANLS.Analisis integración | Business Process | ### 2. ANSS (análisis).</w:t>
      </w:r>
    </w:p>
    <w:p>
      <w:pPr>
        <w:numPr>
          <w:ilvl w:val="0"/>
          <w:numId w:val="1006"/>
        </w:numPr>
      </w:pPr>
      <w:r>
        <w:t xml:space="preserve">Scrum, Funcional, Dueño producto cliente (requiere conocimiento del negocio).</w:t>
      </w:r>
    </w:p>
    <w:p>
      <w:pPr>
        <w:numPr>
          <w:ilvl w:val="0"/>
          <w:numId w:val="1006"/>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36"/>
    <w:bookmarkStart w:id="37" w:name="sec:salidas-1"/>
    <w:p>
      <w:pPr>
        <w:pStyle w:val="Heading3"/>
      </w:pPr>
      <w:r>
        <w:t xml:space="preserve">Salidas</w:t>
      </w:r>
    </w:p>
    <w:p>
      <w:pPr>
        <w:numPr>
          <w:ilvl w:val="0"/>
          <w:numId w:val="1007"/>
        </w:numPr>
        <w:pStyle w:val="Compact"/>
      </w:pPr>
      <w:r>
        <w:t xml:space="preserve">Modelo de negocio en el repo</w:t>
      </w:r>
    </w:p>
    <w:p>
      <w:pPr>
        <w:numPr>
          <w:ilvl w:val="0"/>
          <w:numId w:val="1007"/>
        </w:numPr>
        <w:pStyle w:val="Compact"/>
      </w:pPr>
      <w:r>
        <w:t xml:space="preserve">Estimación –puede en devops</w:t>
      </w:r>
    </w:p>
    <w:p>
      <w:pPr>
        <w:numPr>
          <w:ilvl w:val="0"/>
          <w:numId w:val="1007"/>
        </w:numPr>
        <w:pStyle w:val="Compact"/>
      </w:pPr>
      <w:r>
        <w:t xml:space="preserve">Análisis de dependencia en el repo</w:t>
      </w:r>
    </w:p>
    <w:bookmarkEnd w:id="37"/>
    <w:bookmarkStart w:id="38" w:name="sec:kpi-1"/>
    <w:p>
      <w:pPr>
        <w:pStyle w:val="Heading3"/>
      </w:pPr>
      <w:r>
        <w:t xml:space="preserve">KPI</w:t>
      </w:r>
    </w:p>
    <w:p>
      <w:pPr>
        <w:numPr>
          <w:ilvl w:val="0"/>
          <w:numId w:val="1008"/>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8"/>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MET.APRB | Business Object |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r>
        <w:t xml:space="preserve"> </w:t>
      </w:r>
      <w:r>
        <w:t xml:space="preserve">|</w:t>
      </w:r>
      <w:r>
        <w:t xml:space="preserve"> </w:t>
      </w:r>
      <w:r>
        <w:t xml:space="preserve">| DIS.Arquitectura / diseño | Business Process | ### KPI</w:t>
      </w:r>
    </w:p>
    <w:p>
      <w:pPr>
        <w:numPr>
          <w:ilvl w:val="0"/>
          <w:numId w:val="1008"/>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r>
        <w:t xml:space="preserve"> </w:t>
      </w:r>
      <w:r>
        <w:t xml:space="preserve">|</w:t>
      </w:r>
      <w:r>
        <w:t xml:space="preserve"> </w:t>
      </w:r>
      <w:r>
        <w:t xml:space="preserve">| MET.DEC | Business Object |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pStyle w:val="FirstParagraph"/>
      </w:pPr>
      <w:r>
        <w:t xml:space="preserve">|</w:t>
      </w:r>
      <w:r>
        <w:t xml:space="preserve"> </w:t>
      </w:r>
      <w:r>
        <w:t xml:space="preserve">| Plan Producción: Scrum y Gerencia | Grouping | |</w:t>
      </w:r>
      <w:r>
        <w:t xml:space="preserve"> </w:t>
      </w:r>
      <w:r>
        <w:t xml:space="preserve">| Plan Producción: Ingeniería (Red Hat DevOps)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r>
        <w:t xml:space="preserve"> </w:t>
      </w:r>
      <w:r>
        <w:t xml:space="preserve">| Plan Producción: Ingeniería (Red Hat DevOps) (copy)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p>
    <w:p>
      <w:pPr>
        <w:pStyle w:val="BodyText"/>
      </w:pPr>
      <w:r>
        <w:t xml:space="preserve">Table: Elementos de la vista. {#tbl:tblelement-04.ING.2n.1b.Modeloproducción-id}</w:t>
      </w:r>
    </w:p>
    <w:p>
      <w:pPr>
        <w:pStyle w:val="BodyText"/>
      </w:pPr>
    </w:p>
    <w:bookmarkEnd w:id="38"/>
    <w:bookmarkEnd w:id="39"/>
    <w:bookmarkEnd w:id="40"/>
    <w:bookmarkStart w:id="105" w:name="X9eaf8f9e5aaaec9efd1b932dd65c6a451e58315"/>
    <w:p>
      <w:pPr>
        <w:pStyle w:val="Heading1"/>
      </w:pPr>
      <w:r>
        <w:t xml:space="preserve">Modelo de Requerimientos de Interoperabilidad Proyecto JEP</w:t>
      </w:r>
    </w:p>
    <w:bookmarkStart w:id="54"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09"/>
        </w:numPr>
        <w:pStyle w:val="Compact"/>
      </w:pPr>
      <w:r>
        <w:t xml:space="preserve">Implementación de 20 o más servicios de integración al 31 de diciembre del 2024.</w:t>
      </w:r>
    </w:p>
    <w:p>
      <w:pPr>
        <w:numPr>
          <w:ilvl w:val="0"/>
          <w:numId w:val="1009"/>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0"/>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0"/>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0"/>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42" name="Picture"/>
            <a:graphic>
              <a:graphicData uri="http://schemas.openxmlformats.org/drawingml/2006/picture">
                <pic:pic>
                  <pic:nvPicPr>
                    <pic:cNvPr descr="images/05.REQR.1n.1b.RequerimientoREQR11.png" id="43" name="Picture"/>
                    <pic:cNvPicPr>
                      <a:picLocks noChangeArrowheads="1" noChangeAspect="1"/>
                    </pic:cNvPicPr>
                  </pic:nvPicPr>
                  <pic:blipFill>
                    <a:blip r:embed="rId41"/>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4" w:name="sec:plan-producción-scrum-y-gerencia"/>
    <w:p>
      <w:pPr>
        <w:pStyle w:val="Heading3"/>
      </w:pPr>
      <w:r>
        <w:t xml:space="preserve">Plan Producción: Scrum y Gerencia</w:t>
      </w:r>
    </w:p>
    <w:bookmarkEnd w:id="44"/>
    <w:bookmarkStart w:id="45" w:name="sec:problema-3"/>
    <w:p>
      <w:pPr>
        <w:pStyle w:val="Heading3"/>
      </w:pPr>
      <w:r>
        <w:t xml:space="preserve">Problema 3</w:t>
      </w:r>
    </w:p>
    <w:bookmarkEnd w:id="45"/>
    <w:bookmarkStart w:id="46" w:name="sec:objetivo-contractual"/>
    <w:p>
      <w:pPr>
        <w:pStyle w:val="Heading3"/>
      </w:pPr>
      <w:r>
        <w:t xml:space="preserve">Objetivo: Contractual</w:t>
      </w:r>
    </w:p>
    <w:p>
      <w:pPr>
        <w:pStyle w:val="FirstParagraph"/>
      </w:pPr>
      <w:r>
        <w:t xml:space="preserve">El requerimiento tiene carácter contractual.</w:t>
      </w:r>
    </w:p>
    <w:bookmarkEnd w:id="46"/>
    <w:bookmarkStart w:id="47"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7"/>
    <w:bookmarkStart w:id="48"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8"/>
    <w:bookmarkStart w:id="49"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9"/>
    <w:bookmarkStart w:id="50" w:name="X8ae3bc333c0d418fc477fe355d0aabfb3b51768"/>
    <w:p>
      <w:pPr>
        <w:pStyle w:val="Heading3"/>
      </w:pPr>
      <w:r>
        <w:t xml:space="preserve">Índice de la documentación (casos de uso)</w:t>
      </w:r>
    </w:p>
    <w:p>
      <w:pPr>
        <w:numPr>
          <w:ilvl w:val="0"/>
          <w:numId w:val="1011"/>
        </w:numPr>
        <w:pStyle w:val="Compact"/>
      </w:pPr>
      <w:r>
        <w:t xml:space="preserve">Caso de Uso 1. Integrar Radicar MP</w:t>
      </w:r>
    </w:p>
    <w:p>
      <w:pPr>
        <w:numPr>
          <w:ilvl w:val="0"/>
          <w:numId w:val="1011"/>
        </w:numPr>
        <w:pStyle w:val="Compact"/>
      </w:pPr>
      <w:r>
        <w:t xml:space="preserve">Caso de Uso 2. Integrar Indexar Imagen</w:t>
      </w:r>
    </w:p>
    <w:p>
      <w:pPr>
        <w:pStyle w:val="FirstParagraph"/>
      </w:pPr>
      <w:r>
        <w:t xml:space="preserve">Los casos de uso se detallan en anexo más adelante.</w:t>
      </w:r>
    </w:p>
    <w:bookmarkEnd w:id="50"/>
    <w:bookmarkStart w:id="51" w:name="sec:solución-3"/>
    <w:p>
      <w:pPr>
        <w:pStyle w:val="Heading3"/>
      </w:pPr>
      <w:r>
        <w:t xml:space="preserve">Solución 3</w:t>
      </w:r>
    </w:p>
    <w:bookmarkEnd w:id="51"/>
    <w:bookmarkStart w:id="52" w:name="sec:sint10.-integrar-radicar-mp"/>
    <w:p>
      <w:pPr>
        <w:pStyle w:val="Heading3"/>
      </w:pPr>
      <w:r>
        <w:t xml:space="preserve">SINT10. Integrar Radicar MP</w:t>
      </w:r>
    </w:p>
    <w:p>
      <w:pPr>
        <w:pStyle w:val="FirstParagraph"/>
      </w:pPr>
      <w:r>
        <w:t xml:space="preserve">Tareas de desarrollo</w:t>
      </w:r>
    </w:p>
    <w:p>
      <w:pPr>
        <w:numPr>
          <w:ilvl w:val="0"/>
          <w:numId w:val="1012"/>
        </w:numPr>
        <w:pStyle w:val="Compact"/>
      </w:pPr>
      <w:r>
        <w:t xml:space="preserve">Interoperabilidad IOP1. Transporte / Entrega Consulta Negocio</w:t>
      </w:r>
    </w:p>
    <w:p>
      <w:pPr>
        <w:numPr>
          <w:ilvl w:val="0"/>
          <w:numId w:val="1012"/>
        </w:numPr>
        <w:pStyle w:val="Compact"/>
      </w:pPr>
      <w:r>
        <w:t xml:space="preserve">Modelo de datos (XML, RBDMS, …)</w:t>
      </w:r>
    </w:p>
    <w:p>
      <w:pPr>
        <w:numPr>
          <w:ilvl w:val="0"/>
          <w:numId w:val="1012"/>
        </w:numPr>
        <w:pStyle w:val="Compact"/>
      </w:pPr>
      <w:r>
        <w:t xml:space="preserve">Esquema de datos (XSD, DTD, JSON-E…)</w:t>
      </w:r>
    </w:p>
    <w:p>
      <w:pPr>
        <w:numPr>
          <w:ilvl w:val="0"/>
          <w:numId w:val="1012"/>
        </w:numPr>
        <w:pStyle w:val="Compact"/>
      </w:pPr>
      <w:r>
        <w:t xml:space="preserve">Contratos de interoperabilidad (WSDL, API…)</w:t>
      </w:r>
    </w:p>
    <w:p>
      <w:pPr>
        <w:numPr>
          <w:ilvl w:val="0"/>
          <w:numId w:val="1012"/>
        </w:numPr>
        <w:pStyle w:val="Compact"/>
      </w:pPr>
      <w:r>
        <w:t xml:space="preserve">Mensajes petición IN (API, XML…)</w:t>
      </w:r>
    </w:p>
    <w:p>
      <w:pPr>
        <w:numPr>
          <w:ilvl w:val="0"/>
          <w:numId w:val="1012"/>
        </w:numPr>
        <w:pStyle w:val="Compact"/>
      </w:pPr>
      <w:r>
        <w:t xml:space="preserve">Mensajes respuesta OUT (API, XML…)</w:t>
      </w:r>
    </w:p>
    <w:p>
      <w:pPr>
        <w:numPr>
          <w:ilvl w:val="0"/>
          <w:numId w:val="1012"/>
        </w:numPr>
        <w:pStyle w:val="Compact"/>
      </w:pPr>
      <w:r>
        <w:t xml:space="preserve">Mensajes excepción (API, XML…)</w:t>
      </w:r>
    </w:p>
    <w:p>
      <w:pPr>
        <w:numPr>
          <w:ilvl w:val="0"/>
          <w:numId w:val="1012"/>
        </w:numPr>
        <w:pStyle w:val="Compact"/>
      </w:pPr>
      <w:r>
        <w:t xml:space="preserve">Transporte (REST, SOAP)</w:t>
      </w:r>
    </w:p>
    <w:p>
      <w:pPr>
        <w:numPr>
          <w:ilvl w:val="0"/>
          <w:numId w:val="1012"/>
        </w:numPr>
        <w:pStyle w:val="Compact"/>
      </w:pPr>
      <w:r>
        <w:t xml:space="preserve">Función lógica (JEE, …)</w:t>
      </w:r>
    </w:p>
    <w:p>
      <w:pPr>
        <w:numPr>
          <w:ilvl w:val="0"/>
          <w:numId w:val="1012"/>
        </w:numPr>
        <w:pStyle w:val="Compact"/>
      </w:pPr>
      <w:r>
        <w:t xml:space="preserve">Registro y envío de actividad</w:t>
      </w:r>
    </w:p>
    <w:bookmarkEnd w:id="52"/>
    <w:bookmarkStart w:id="53" w:name="sec:sint11.-integrar-indexar-imagen"/>
    <w:p>
      <w:pPr>
        <w:pStyle w:val="Heading3"/>
      </w:pPr>
      <w:r>
        <w:t xml:space="preserve">SINT11. Integrar Indexar Imagen</w:t>
      </w:r>
    </w:p>
    <w:p>
      <w:pPr>
        <w:pStyle w:val="FirstParagraph"/>
      </w:pPr>
      <w:r>
        <w:t xml:space="preserve">Tareas de desarrollo</w:t>
      </w:r>
    </w:p>
    <w:p>
      <w:pPr>
        <w:numPr>
          <w:ilvl w:val="0"/>
          <w:numId w:val="1013"/>
        </w:numPr>
        <w:pStyle w:val="Compact"/>
      </w:pPr>
      <w:r>
        <w:t xml:space="preserve">Interoperabilidad IOP1. Transporte / Entrega Consulta Negocio</w:t>
      </w:r>
    </w:p>
    <w:p>
      <w:pPr>
        <w:numPr>
          <w:ilvl w:val="0"/>
          <w:numId w:val="1013"/>
        </w:numPr>
        <w:pStyle w:val="Compact"/>
      </w:pPr>
      <w:r>
        <w:t xml:space="preserve">Modelo de datos (XML, RBDMS, …)</w:t>
      </w:r>
    </w:p>
    <w:p>
      <w:pPr>
        <w:numPr>
          <w:ilvl w:val="0"/>
          <w:numId w:val="1013"/>
        </w:numPr>
        <w:pStyle w:val="Compact"/>
      </w:pPr>
      <w:r>
        <w:t xml:space="preserve">Esquema de datos (XSD, DTD, JSON-E…)</w:t>
      </w:r>
    </w:p>
    <w:p>
      <w:pPr>
        <w:numPr>
          <w:ilvl w:val="0"/>
          <w:numId w:val="1013"/>
        </w:numPr>
        <w:pStyle w:val="Compact"/>
      </w:pPr>
      <w:r>
        <w:t xml:space="preserve">Contratos de interoperabilidad (WSDL, API…)</w:t>
      </w:r>
    </w:p>
    <w:p>
      <w:pPr>
        <w:numPr>
          <w:ilvl w:val="0"/>
          <w:numId w:val="1013"/>
        </w:numPr>
        <w:pStyle w:val="Compact"/>
      </w:pPr>
      <w:r>
        <w:t xml:space="preserve">Mensajes petición IN (API, XML…)</w:t>
      </w:r>
    </w:p>
    <w:p>
      <w:pPr>
        <w:numPr>
          <w:ilvl w:val="0"/>
          <w:numId w:val="1013"/>
        </w:numPr>
        <w:pStyle w:val="Compact"/>
      </w:pPr>
      <w:r>
        <w:t xml:space="preserve">Mensajes respuesta OUT (API, XML…)</w:t>
      </w:r>
    </w:p>
    <w:p>
      <w:pPr>
        <w:numPr>
          <w:ilvl w:val="0"/>
          <w:numId w:val="1013"/>
        </w:numPr>
        <w:pStyle w:val="Compact"/>
      </w:pPr>
      <w:r>
        <w:t xml:space="preserve">Mensajes excepción (API, XML…)</w:t>
      </w:r>
    </w:p>
    <w:p>
      <w:pPr>
        <w:numPr>
          <w:ilvl w:val="0"/>
          <w:numId w:val="1013"/>
        </w:numPr>
        <w:pStyle w:val="Compact"/>
      </w:pPr>
      <w:r>
        <w:t xml:space="preserve">Transporte (REST, SOAP)</w:t>
      </w:r>
    </w:p>
    <w:p>
      <w:pPr>
        <w:numPr>
          <w:ilvl w:val="0"/>
          <w:numId w:val="1013"/>
        </w:numPr>
        <w:pStyle w:val="Compact"/>
      </w:pPr>
      <w:r>
        <w:t xml:space="preserve">Función lógica (JEE, …)</w:t>
      </w:r>
    </w:p>
    <w:p>
      <w:pPr>
        <w:numPr>
          <w:ilvl w:val="0"/>
          <w:numId w:val="1013"/>
        </w:numPr>
        <w:pStyle w:val="Compact"/>
      </w:pPr>
      <w:r>
        <w:t xml:space="preserve">Registro y envío de actividad</w:t>
      </w:r>
    </w:p>
    <w:bookmarkEnd w:id="53"/>
    <w:bookmarkEnd w:id="54"/>
    <w:bookmarkStart w:id="72"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6" name="Picture"/>
            <a:graphic>
              <a:graphicData uri="http://schemas.openxmlformats.org/drawingml/2006/picture">
                <pic:pic>
                  <pic:nvPicPr>
                    <pic:cNvPr descr="images/05.REQR.2n.4n.CasosdeUsoREQR11.png" id="57" name="Picture"/>
                    <pic:cNvPicPr>
                      <a:picLocks noChangeArrowheads="1" noChangeAspect="1"/>
                    </pic:cNvPicPr>
                  </pic:nvPicPr>
                  <pic:blipFill>
                    <a:blip r:embed="rId55"/>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8"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8"/>
    <w:bookmarkStart w:id="59" w:name="Xe2a2e48a481680c1d6185fe541c11ce4fece4bc"/>
    <w:p>
      <w:pPr>
        <w:pStyle w:val="Heading3"/>
      </w:pPr>
      <w:r>
        <w:t xml:space="preserve">Índice de la documentación (casos de uso)</w:t>
      </w:r>
    </w:p>
    <w:p>
      <w:pPr>
        <w:numPr>
          <w:ilvl w:val="0"/>
          <w:numId w:val="1014"/>
        </w:numPr>
        <w:pStyle w:val="Compact"/>
      </w:pPr>
      <w:r>
        <w:t xml:space="preserve">Caso de Uso 1. Integrar Radicar MP</w:t>
      </w:r>
    </w:p>
    <w:p>
      <w:pPr>
        <w:numPr>
          <w:ilvl w:val="0"/>
          <w:numId w:val="1014"/>
        </w:numPr>
        <w:pStyle w:val="Compact"/>
      </w:pPr>
      <w:r>
        <w:t xml:space="preserve">Caso de Uso 2. Integrar Indexar Imagen</w:t>
      </w:r>
    </w:p>
    <w:p>
      <w:pPr>
        <w:pStyle w:val="FirstParagraph"/>
      </w:pPr>
      <w:r>
        <w:t xml:space="preserve">Los casos de uso se detallan en anexo más adelante.</w:t>
      </w:r>
    </w:p>
    <w:bookmarkEnd w:id="59"/>
    <w:bookmarkStart w:id="60" w:name="sec:hu.sint10.-integración.-radicar-mp"/>
    <w:p>
      <w:pPr>
        <w:pStyle w:val="Heading3"/>
      </w:pPr>
      <w:r>
        <w:t xml:space="preserve">HU.SINT10. Integración. Radicar MP</w:t>
      </w:r>
    </w:p>
    <w:bookmarkEnd w:id="60"/>
    <w:bookmarkStart w:id="65"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15"/>
        </w:numPr>
        <w:pStyle w:val="Compact"/>
      </w:pPr>
      <w:r>
        <w:t xml:space="preserve">Dominio/mercurio/gestionMedidaProteccion/radicarMP Method: POST</w:t>
      </w:r>
    </w:p>
    <w:p>
      <w:pPr>
        <w:numPr>
          <w:ilvl w:val="0"/>
          <w:numId w:val="1015"/>
        </w:numPr>
        <w:pStyle w:val="Compact"/>
      </w:pPr>
      <w:r>
        <w:t xml:space="preserve">Content-Type: application/json.</w:t>
      </w:r>
    </w:p>
    <w:p>
      <w:pPr>
        <w:pStyle w:val="FirstParagraph"/>
      </w:pPr>
      <w:r>
        <w:t xml:space="preserve">Ver fuente anexo técnico: gestionMedidaProteccion (pdf).</w:t>
      </w:r>
    </w:p>
    <w:bookmarkStart w:id="61" w:name="sec:elementos"/>
    <w:p>
      <w:pPr>
        <w:pStyle w:val="Heading4"/>
      </w:pPr>
      <w:r>
        <w:t xml:space="preserve">Elementos</w:t>
      </w:r>
    </w:p>
    <w:p>
      <w:pPr>
        <w:pStyle w:val="FirstParagraph"/>
      </w:pPr>
      <w:r>
        <w:t xml:space="preserve">Elegir y describir los elementos de la actual integración.</w:t>
      </w:r>
    </w:p>
    <w:p>
      <w:pPr>
        <w:numPr>
          <w:ilvl w:val="0"/>
          <w:numId w:val="1016"/>
        </w:numPr>
        <w:pStyle w:val="Compact"/>
      </w:pPr>
      <w:r>
        <w:t xml:space="preserve">☒ App consumidora (A)</w:t>
      </w:r>
    </w:p>
    <w:p>
      <w:pPr>
        <w:numPr>
          <w:ilvl w:val="0"/>
          <w:numId w:val="1016"/>
        </w:numPr>
        <w:pStyle w:val="Compact"/>
      </w:pPr>
      <w:r>
        <w:t xml:space="preserve">☒ Mensaje</w:t>
      </w:r>
    </w:p>
    <w:p>
      <w:pPr>
        <w:numPr>
          <w:ilvl w:val="0"/>
          <w:numId w:val="1016"/>
        </w:numPr>
        <w:pStyle w:val="Compact"/>
      </w:pPr>
      <w:r>
        <w:t xml:space="preserve">☐ Canal</w:t>
      </w:r>
    </w:p>
    <w:p>
      <w:pPr>
        <w:numPr>
          <w:ilvl w:val="0"/>
          <w:numId w:val="1016"/>
        </w:numPr>
        <w:pStyle w:val="Compact"/>
      </w:pPr>
      <w:r>
        <w:t xml:space="preserve">☐ Ruteo</w:t>
      </w:r>
    </w:p>
    <w:p>
      <w:pPr>
        <w:numPr>
          <w:ilvl w:val="0"/>
          <w:numId w:val="1016"/>
        </w:numPr>
        <w:pStyle w:val="Compact"/>
      </w:pPr>
      <w:r>
        <w:t xml:space="preserve">☐ Traducción</w:t>
      </w:r>
    </w:p>
    <w:p>
      <w:pPr>
        <w:numPr>
          <w:ilvl w:val="0"/>
          <w:numId w:val="1016"/>
        </w:numPr>
        <w:pStyle w:val="Compact"/>
      </w:pPr>
      <w:r>
        <w:t xml:space="preserve">☒ App proveedora (B)</w:t>
      </w:r>
    </w:p>
    <w:p>
      <w:pPr>
        <w:numPr>
          <w:ilvl w:val="0"/>
          <w:numId w:val="1016"/>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17"/>
        </w:numPr>
        <w:pStyle w:val="Compact"/>
      </w:pPr>
      <w:r>
        <w:t xml:space="preserve">Tipo: TXT | SOAP | XML | JSN | YML | BASE64</w:t>
      </w:r>
    </w:p>
    <w:p>
      <w:pPr>
        <w:numPr>
          <w:ilvl w:val="0"/>
          <w:numId w:val="1017"/>
        </w:numPr>
        <w:pStyle w:val="Compact"/>
      </w:pPr>
      <w:r>
        <w:t xml:space="preserve">Contenido: Usuario o identidad Conti</w:t>
      </w:r>
    </w:p>
    <w:p>
      <w:pPr>
        <w:pStyle w:val="FirstParagraph"/>
      </w:pPr>
      <w:r>
        <w:t xml:space="preserve">Mensaje respuesta: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Estado de solicitud de ingreso a Conti</w:t>
      </w:r>
    </w:p>
    <w:p>
      <w:pPr>
        <w:pStyle w:val="FirstParagraph"/>
      </w:pPr>
      <w:r>
        <w:t xml:space="preserve">Mensaje excepción: Rpta. Ingreso a Conti</w:t>
      </w:r>
    </w:p>
    <w:p>
      <w:pPr>
        <w:numPr>
          <w:ilvl w:val="0"/>
          <w:numId w:val="1019"/>
        </w:numPr>
        <w:pStyle w:val="Compact"/>
      </w:pPr>
      <w:r>
        <w:t xml:space="preserve">Tipo: TXT | SOAP | XML | JSN | YML | BASE64</w:t>
      </w:r>
    </w:p>
    <w:p>
      <w:pPr>
        <w:numPr>
          <w:ilvl w:val="0"/>
          <w:numId w:val="1019"/>
        </w:numPr>
        <w:pStyle w:val="Compact"/>
      </w:pPr>
      <w:r>
        <w:t xml:space="preserve">Contenido: Código de respuesta: HTTP 500 | TXT | Numeración (entero)</w:t>
      </w:r>
    </w:p>
    <w:bookmarkEnd w:id="61"/>
    <w:bookmarkStart w:id="62"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2"/>
    <w:bookmarkStart w:id="63"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0"/>
        </w:numPr>
        <w:pStyle w:val="Compact"/>
      </w:pPr>
      <w:r>
        <w:t xml:space="preserve">PRUB1. Consumo radicar.</w:t>
      </w:r>
    </w:p>
    <w:p>
      <w:pPr>
        <w:numPr>
          <w:ilvl w:val="0"/>
          <w:numId w:val="1020"/>
        </w:numPr>
        <w:pStyle w:val="Compact"/>
      </w:pPr>
      <w:r>
        <w:t xml:space="preserve">PRUB2. Falla consumo radicar.</w:t>
      </w:r>
    </w:p>
    <w:bookmarkEnd w:id="64"/>
    <w:bookmarkEnd w:id="65"/>
    <w:bookmarkStart w:id="66" w:name="X651ace09decc2379ec935dcb1c891422b84e193"/>
    <w:p>
      <w:pPr>
        <w:pStyle w:val="Heading3"/>
      </w:pPr>
      <w:r>
        <w:t xml:space="preserve">HU.SINT11. Integración. Indexar Imagen</w:t>
      </w:r>
    </w:p>
    <w:bookmarkEnd w:id="66"/>
    <w:bookmarkStart w:id="71"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1"/>
        </w:numPr>
        <w:pStyle w:val="Compact"/>
      </w:pPr>
      <w:r>
        <w:t xml:space="preserve">Dominio/mercurio/gestionMedidaProteccion/IndexarImagen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67" w:name="sec:elementos-1"/>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67"/>
    <w:bookmarkStart w:id="68"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8"/>
    <w:bookmarkStart w:id="69"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9"/>
    <w:bookmarkStart w:id="70"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indexar.</w:t>
      </w:r>
    </w:p>
    <w:p>
      <w:pPr>
        <w:numPr>
          <w:ilvl w:val="0"/>
          <w:numId w:val="1026"/>
        </w:numPr>
        <w:pStyle w:val="Compact"/>
      </w:pPr>
      <w:r>
        <w:t xml:space="preserve">PRUB2. Falla consumo indexar.</w:t>
      </w:r>
    </w:p>
    <w:bookmarkEnd w:id="70"/>
    <w:bookmarkEnd w:id="71"/>
    <w:bookmarkEnd w:id="72"/>
    <w:bookmarkStart w:id="8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27"/>
        </w:numPr>
        <w:pStyle w:val="Compact"/>
      </w:pPr>
      <w:r>
        <w:t xml:space="preserve">Implementación de 20 o más servicios de integración al 31 de diciembre del 2024.</w:t>
      </w:r>
    </w:p>
    <w:p>
      <w:pPr>
        <w:numPr>
          <w:ilvl w:val="0"/>
          <w:numId w:val="102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2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2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2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74" name="Picture"/>
            <a:graphic>
              <a:graphicData uri="http://schemas.openxmlformats.org/drawingml/2006/picture">
                <pic:pic>
                  <pic:nvPicPr>
                    <pic:cNvPr descr="images/05.REQR.1n.1d.RequerimientoREQR13.png" id="75" name="Picture"/>
                    <pic:cNvPicPr>
                      <a:picLocks noChangeArrowheads="1" noChangeAspect="1"/>
                    </pic:cNvPicPr>
                  </pic:nvPicPr>
                  <pic:blipFill>
                    <a:blip r:embed="rId73"/>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5: 05.REQR.1n.1d. Requerimiento REQR13.</w:t>
      </w:r>
      <w:r>
        <w:t xml:space="preserve"> </w:t>
      </w:r>
      <w:r>
        <w:rPr>
          <w:iCs/>
          <w:i/>
        </w:rPr>
        <w:t xml:space="preserve">Fuente: Repositorio arquitectura Integración JEP (2024)</w:t>
      </w:r>
    </w:p>
    <w:bookmarkStart w:id="76" w:name="sec:problema-4"/>
    <w:p>
      <w:pPr>
        <w:pStyle w:val="Heading3"/>
      </w:pPr>
      <w:r>
        <w:t xml:space="preserve">Problema 4</w:t>
      </w:r>
    </w:p>
    <w:bookmarkEnd w:id="76"/>
    <w:bookmarkStart w:id="77" w:name="sec:objetivo-contractual-1"/>
    <w:p>
      <w:pPr>
        <w:pStyle w:val="Heading3"/>
      </w:pPr>
      <w:r>
        <w:t xml:space="preserve">Objetivo: Contractual</w:t>
      </w:r>
    </w:p>
    <w:p>
      <w:pPr>
        <w:pStyle w:val="FirstParagraph"/>
      </w:pPr>
      <w:r>
        <w:t xml:space="preserve">El requerimiento tiene carácter contractual.</w:t>
      </w:r>
    </w:p>
    <w:bookmarkEnd w:id="77"/>
    <w:bookmarkStart w:id="78"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78"/>
    <w:bookmarkStart w:id="79" w:name="sec:restricción-levantamiento-1"/>
    <w:p>
      <w:pPr>
        <w:pStyle w:val="Heading3"/>
      </w:pPr>
      <w:r>
        <w:t xml:space="preserve">Restricción: Levantamiento</w:t>
      </w:r>
    </w:p>
    <w:p>
      <w:pPr>
        <w:pStyle w:val="FirstParagraph"/>
      </w:pPr>
      <w:r>
        <w:t xml:space="preserve">El requerimiento está condicionado por la completitud del levantamiento.</w:t>
      </w:r>
    </w:p>
    <w:bookmarkEnd w:id="79"/>
    <w:bookmarkStart w:id="80"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80"/>
    <w:bookmarkStart w:id="81" w:name="Xf3f2a5b00035c349fdba78c62a0da344d81b6a9"/>
    <w:p>
      <w:pPr>
        <w:pStyle w:val="Heading3"/>
      </w:pPr>
      <w:r>
        <w:t xml:space="preserve">Índice de la documentación (casos de uso)</w:t>
      </w:r>
    </w:p>
    <w:p>
      <w:pPr>
        <w:numPr>
          <w:ilvl w:val="0"/>
          <w:numId w:val="1029"/>
        </w:numPr>
        <w:pStyle w:val="Compact"/>
      </w:pPr>
      <w:r>
        <w:t xml:space="preserve">Caso de Uso 1. Integrar Autenticación</w:t>
      </w:r>
    </w:p>
    <w:p>
      <w:pPr>
        <w:numPr>
          <w:ilvl w:val="0"/>
          <w:numId w:val="1029"/>
        </w:numPr>
        <w:pStyle w:val="Compact"/>
      </w:pPr>
      <w:r>
        <w:t xml:space="preserve">Caso de Uso 2. Integrar Procesos de integración</w:t>
      </w:r>
    </w:p>
    <w:p>
      <w:pPr>
        <w:pStyle w:val="FirstParagraph"/>
      </w:pPr>
      <w:r>
        <w:t xml:space="preserve">Los casos de uso se detallan en anexo más adelante.</w:t>
      </w:r>
    </w:p>
    <w:bookmarkEnd w:id="81"/>
    <w:bookmarkStart w:id="82" w:name="sec:solución-4"/>
    <w:p>
      <w:pPr>
        <w:pStyle w:val="Heading3"/>
      </w:pPr>
      <w:r>
        <w:t xml:space="preserve">Solución 4</w:t>
      </w:r>
    </w:p>
    <w:bookmarkEnd w:id="82"/>
    <w:bookmarkStart w:id="83" w:name="sec:sint30.-autenticación"/>
    <w:p>
      <w:pPr>
        <w:pStyle w:val="Heading3"/>
      </w:pPr>
      <w:r>
        <w:t xml:space="preserve">SINT30. Autenticación</w:t>
      </w:r>
    </w:p>
    <w:p>
      <w:pPr>
        <w:pStyle w:val="FirstParagraph"/>
      </w:pPr>
      <w:r>
        <w:t xml:space="preserve">Tareas de desarrollo</w:t>
      </w:r>
    </w:p>
    <w:p>
      <w:pPr>
        <w:numPr>
          <w:ilvl w:val="0"/>
          <w:numId w:val="1030"/>
        </w:numPr>
        <w:pStyle w:val="Compact"/>
      </w:pPr>
      <w:r>
        <w:t xml:space="preserve">Interoperabilidad IOP1. Transporte / Entrega Consulta Negocio</w:t>
      </w:r>
      <w:r>
        <w:br/>
      </w:r>
    </w:p>
    <w:p>
      <w:pPr>
        <w:numPr>
          <w:ilvl w:val="0"/>
          <w:numId w:val="1030"/>
        </w:numPr>
        <w:pStyle w:val="Compact"/>
      </w:pPr>
      <w:r>
        <w:t xml:space="preserve">Modelo de datos (XML, RBDMS, …)</w:t>
      </w:r>
    </w:p>
    <w:p>
      <w:pPr>
        <w:numPr>
          <w:ilvl w:val="0"/>
          <w:numId w:val="1030"/>
        </w:numPr>
        <w:pStyle w:val="Compact"/>
      </w:pPr>
      <w:r>
        <w:t xml:space="preserve">Esquema de datos (XSD, DTD, JSON-E…)</w:t>
      </w:r>
    </w:p>
    <w:p>
      <w:pPr>
        <w:numPr>
          <w:ilvl w:val="0"/>
          <w:numId w:val="1030"/>
        </w:numPr>
        <w:pStyle w:val="Compact"/>
      </w:pPr>
      <w:r>
        <w:t xml:space="preserve">Contratos de interoperabilidad (WSDL, API…)</w:t>
      </w:r>
    </w:p>
    <w:p>
      <w:pPr>
        <w:numPr>
          <w:ilvl w:val="0"/>
          <w:numId w:val="1030"/>
        </w:numPr>
        <w:pStyle w:val="Compact"/>
      </w:pPr>
      <w:r>
        <w:t xml:space="preserve">Mensajes petición IN (API, XML…)</w:t>
      </w:r>
    </w:p>
    <w:p>
      <w:pPr>
        <w:numPr>
          <w:ilvl w:val="0"/>
          <w:numId w:val="1030"/>
        </w:numPr>
        <w:pStyle w:val="Compact"/>
      </w:pPr>
      <w:r>
        <w:t xml:space="preserve">Mensajes respuesta OUT (API, XML…)</w:t>
      </w:r>
    </w:p>
    <w:p>
      <w:pPr>
        <w:numPr>
          <w:ilvl w:val="0"/>
          <w:numId w:val="1030"/>
        </w:numPr>
        <w:pStyle w:val="Compact"/>
      </w:pPr>
      <w:r>
        <w:t xml:space="preserve">Mensajes excepción (API, XML…)</w:t>
      </w:r>
    </w:p>
    <w:p>
      <w:pPr>
        <w:numPr>
          <w:ilvl w:val="0"/>
          <w:numId w:val="1030"/>
        </w:numPr>
        <w:pStyle w:val="Compact"/>
      </w:pPr>
      <w:r>
        <w:t xml:space="preserve">Transporte (REST, SOAP)</w:t>
      </w:r>
    </w:p>
    <w:p>
      <w:pPr>
        <w:numPr>
          <w:ilvl w:val="0"/>
          <w:numId w:val="1030"/>
        </w:numPr>
        <w:pStyle w:val="Compact"/>
      </w:pPr>
      <w:r>
        <w:t xml:space="preserve">Función lógica (JEE, …)</w:t>
      </w:r>
    </w:p>
    <w:p>
      <w:pPr>
        <w:numPr>
          <w:ilvl w:val="0"/>
          <w:numId w:val="1030"/>
        </w:numPr>
        <w:pStyle w:val="Compact"/>
      </w:pPr>
      <w:r>
        <w:t xml:space="preserve">Registro y envío de actividad</w:t>
      </w:r>
    </w:p>
    <w:bookmarkEnd w:id="83"/>
    <w:bookmarkStart w:id="84" w:name="sec:sint31.-proceso-de-integración"/>
    <w:p>
      <w:pPr>
        <w:pStyle w:val="Heading3"/>
      </w:pPr>
      <w:r>
        <w:t xml:space="preserve">SINT31. Proceso de integración</w:t>
      </w:r>
    </w:p>
    <w:p>
      <w:pPr>
        <w:pStyle w:val="FirstParagraph"/>
      </w:pPr>
      <w:r>
        <w:t xml:space="preserve">Tareas de desarrollo</w:t>
      </w:r>
    </w:p>
    <w:p>
      <w:pPr>
        <w:numPr>
          <w:ilvl w:val="0"/>
          <w:numId w:val="1031"/>
        </w:numPr>
        <w:pStyle w:val="Compact"/>
      </w:pPr>
      <w:r>
        <w:t xml:space="preserve">Interoperabilidad IOP1. Transporte / Entrega Consulta Negocio</w:t>
      </w:r>
      <w:r>
        <w:br/>
      </w:r>
    </w:p>
    <w:p>
      <w:pPr>
        <w:numPr>
          <w:ilvl w:val="0"/>
          <w:numId w:val="1031"/>
        </w:numPr>
        <w:pStyle w:val="Compact"/>
      </w:pPr>
      <w:r>
        <w:t xml:space="preserve">Modelo de datos (XML, RBDMS, …)</w:t>
      </w:r>
    </w:p>
    <w:p>
      <w:pPr>
        <w:numPr>
          <w:ilvl w:val="0"/>
          <w:numId w:val="1031"/>
        </w:numPr>
        <w:pStyle w:val="Compact"/>
      </w:pPr>
      <w:r>
        <w:t xml:space="preserve">Esquema de datos (XSD, DTD, JSON-E…)</w:t>
      </w:r>
    </w:p>
    <w:p>
      <w:pPr>
        <w:numPr>
          <w:ilvl w:val="0"/>
          <w:numId w:val="1031"/>
        </w:numPr>
        <w:pStyle w:val="Compact"/>
      </w:pPr>
      <w:r>
        <w:t xml:space="preserve">Contratos de interoperabilidad (WSDL, API…)</w:t>
      </w:r>
    </w:p>
    <w:p>
      <w:pPr>
        <w:numPr>
          <w:ilvl w:val="0"/>
          <w:numId w:val="1031"/>
        </w:numPr>
        <w:pStyle w:val="Compact"/>
      </w:pPr>
      <w:r>
        <w:t xml:space="preserve">Mensajes petición IN (API, XML…)</w:t>
      </w:r>
    </w:p>
    <w:p>
      <w:pPr>
        <w:numPr>
          <w:ilvl w:val="0"/>
          <w:numId w:val="1031"/>
        </w:numPr>
        <w:pStyle w:val="Compact"/>
      </w:pPr>
      <w:r>
        <w:t xml:space="preserve">Mensajes respuesta OUT (API, XML…)</w:t>
      </w:r>
    </w:p>
    <w:p>
      <w:pPr>
        <w:numPr>
          <w:ilvl w:val="0"/>
          <w:numId w:val="1031"/>
        </w:numPr>
        <w:pStyle w:val="Compact"/>
      </w:pPr>
      <w:r>
        <w:t xml:space="preserve">Mensajes excepción (API, XML…)</w:t>
      </w:r>
    </w:p>
    <w:p>
      <w:pPr>
        <w:numPr>
          <w:ilvl w:val="0"/>
          <w:numId w:val="1031"/>
        </w:numPr>
        <w:pStyle w:val="Compact"/>
      </w:pPr>
      <w:r>
        <w:t xml:space="preserve">Transporte (REST, SOAP)</w:t>
      </w:r>
    </w:p>
    <w:p>
      <w:pPr>
        <w:numPr>
          <w:ilvl w:val="0"/>
          <w:numId w:val="1031"/>
        </w:numPr>
        <w:pStyle w:val="Compact"/>
      </w:pPr>
      <w:r>
        <w:t xml:space="preserve">Función lógica (JEE, …)</w:t>
      </w:r>
    </w:p>
    <w:p>
      <w:pPr>
        <w:numPr>
          <w:ilvl w:val="0"/>
          <w:numId w:val="1031"/>
        </w:numPr>
        <w:pStyle w:val="Compact"/>
      </w:pPr>
      <w:r>
        <w:t xml:space="preserve">Registro y envío de actividad</w:t>
      </w:r>
    </w:p>
    <w:bookmarkEnd w:id="84"/>
    <w:bookmarkStart w:id="85" w:name="sec:plan-producción-scrum-y-gerencia-1"/>
    <w:p>
      <w:pPr>
        <w:pStyle w:val="Heading3"/>
      </w:pPr>
      <w:r>
        <w:t xml:space="preserve">Plan Producción: Scrum y Gerencia</w:t>
      </w:r>
    </w:p>
    <w:bookmarkEnd w:id="85"/>
    <w:bookmarkEnd w:id="86"/>
    <w:bookmarkStart w:id="104"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88" name="Picture"/>
            <a:graphic>
              <a:graphicData uri="http://schemas.openxmlformats.org/drawingml/2006/picture">
                <pic:pic>
                  <pic:nvPicPr>
                    <pic:cNvPr descr="images/05.REQR.2n.5n.CasosdeUsoREQR13.png" id="89" name="Picture"/>
                    <pic:cNvPicPr>
                      <a:picLocks noChangeArrowheads="1" noChangeAspect="1"/>
                    </pic:cNvPicPr>
                  </pic:nvPicPr>
                  <pic:blipFill>
                    <a:blip r:embed="rId87"/>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6: 05.REQR.2n.5n. Casos de Uso REQR13.</w:t>
      </w:r>
      <w:r>
        <w:t xml:space="preserve"> </w:t>
      </w:r>
      <w:r>
        <w:rPr>
          <w:iCs/>
          <w:i/>
        </w:rPr>
        <w:t xml:space="preserve">Fuente: Repositorio arquitectura Integración JEP (2024)</w:t>
      </w:r>
    </w:p>
    <w:bookmarkStart w:id="90"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90"/>
    <w:bookmarkStart w:id="91" w:name="X86137576b43553b931cb6462cf9744a43786633"/>
    <w:p>
      <w:pPr>
        <w:pStyle w:val="Heading3"/>
      </w:pPr>
      <w:r>
        <w:t xml:space="preserve">Índice de la documentación (casos de uso)</w:t>
      </w:r>
    </w:p>
    <w:p>
      <w:pPr>
        <w:numPr>
          <w:ilvl w:val="0"/>
          <w:numId w:val="1032"/>
        </w:numPr>
        <w:pStyle w:val="Compact"/>
      </w:pPr>
      <w:r>
        <w:t xml:space="preserve">Caso de Uso 1. Integrar Autenticación</w:t>
      </w:r>
    </w:p>
    <w:p>
      <w:pPr>
        <w:numPr>
          <w:ilvl w:val="0"/>
          <w:numId w:val="1032"/>
        </w:numPr>
        <w:pStyle w:val="Compact"/>
      </w:pPr>
      <w:r>
        <w:t xml:space="preserve">Caso de Uso 2. Integrar Procesos de integración</w:t>
      </w:r>
    </w:p>
    <w:p>
      <w:pPr>
        <w:pStyle w:val="FirstParagraph"/>
      </w:pPr>
      <w:r>
        <w:t xml:space="preserve">Los casos de uso se detallan en anexo más adelante.</w:t>
      </w:r>
    </w:p>
    <w:bookmarkEnd w:id="91"/>
    <w:bookmarkStart w:id="92" w:name="sec:hu.sint30.-integración."/>
    <w:p>
      <w:pPr>
        <w:pStyle w:val="Heading3"/>
      </w:pPr>
      <w:r>
        <w:t xml:space="preserve">HU.SINT30. Integración.</w:t>
      </w:r>
    </w:p>
    <w:bookmarkEnd w:id="92"/>
    <w:bookmarkStart w:id="97"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93"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93"/>
    <w:bookmarkStart w:id="94"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94"/>
    <w:bookmarkStart w:id="95"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5"/>
    <w:bookmarkStart w:id="96"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96"/>
    <w:bookmarkEnd w:id="97"/>
    <w:bookmarkStart w:id="98" w:name="sec:hu.sint31.-integración."/>
    <w:p>
      <w:pPr>
        <w:pStyle w:val="Heading3"/>
      </w:pPr>
      <w:r>
        <w:t xml:space="preserve">HU.SINT31. Integración.</w:t>
      </w:r>
    </w:p>
    <w:bookmarkEnd w:id="98"/>
    <w:bookmarkStart w:id="103" w:name="sec:especificación-de-integración-3"/>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38"/>
        </w:numPr>
        <w:pStyle w:val="Compact"/>
      </w:pPr>
      <w:r>
        <w:t xml:space="preserve">Dominio/mercurio/gestionMedidaProteccion/radicarMP Method: POST</w:t>
      </w:r>
    </w:p>
    <w:p>
      <w:pPr>
        <w:numPr>
          <w:ilvl w:val="0"/>
          <w:numId w:val="1038"/>
        </w:numPr>
        <w:pStyle w:val="Compact"/>
      </w:pPr>
      <w:r>
        <w:t xml:space="preserve">Content-Type: application/json.</w:t>
      </w:r>
    </w:p>
    <w:p>
      <w:pPr>
        <w:pStyle w:val="FirstParagraph"/>
      </w:pPr>
      <w:r>
        <w:t xml:space="preserve">Ver fuente anexo técnico: gestionMedidaProteccion (pdf).</w:t>
      </w:r>
    </w:p>
    <w:bookmarkStart w:id="99" w:name="sec:elementos-3"/>
    <w:p>
      <w:pPr>
        <w:pStyle w:val="Heading4"/>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40"/>
        </w:numPr>
        <w:pStyle w:val="Compact"/>
      </w:pPr>
      <w:r>
        <w:t xml:space="preserve">Tipo: TXT | SOAP | XML | JSN | YML | BASE64</w:t>
      </w:r>
    </w:p>
    <w:p>
      <w:pPr>
        <w:numPr>
          <w:ilvl w:val="0"/>
          <w:numId w:val="1040"/>
        </w:numPr>
        <w:pStyle w:val="Compact"/>
      </w:pPr>
      <w:r>
        <w:t xml:space="preserve">Contenido: Usuario o identidad Conti</w:t>
      </w:r>
    </w:p>
    <w:p>
      <w:pPr>
        <w:pStyle w:val="FirstParagraph"/>
      </w:pPr>
      <w:r>
        <w:t xml:space="preserve">Mensaje respuesta: Rpta. Ingreso a Conti</w:t>
      </w:r>
    </w:p>
    <w:p>
      <w:pPr>
        <w:numPr>
          <w:ilvl w:val="0"/>
          <w:numId w:val="1041"/>
        </w:numPr>
        <w:pStyle w:val="Compact"/>
      </w:pPr>
      <w:r>
        <w:t xml:space="preserve">Tipo: TXT | SOAP | XML | JSN | YML | BASE64</w:t>
      </w:r>
    </w:p>
    <w:p>
      <w:pPr>
        <w:numPr>
          <w:ilvl w:val="0"/>
          <w:numId w:val="1041"/>
        </w:numPr>
        <w:pStyle w:val="Compact"/>
      </w:pPr>
      <w:r>
        <w:t xml:space="preserve">Contenido: Estado de solicitud de ingreso a Conti</w:t>
      </w:r>
    </w:p>
    <w:p>
      <w:pPr>
        <w:pStyle w:val="FirstParagraph"/>
      </w:pPr>
      <w:r>
        <w:t xml:space="preserve">Mensaje excepción: Rpta. Ingreso a Conti</w:t>
      </w:r>
    </w:p>
    <w:p>
      <w:pPr>
        <w:numPr>
          <w:ilvl w:val="0"/>
          <w:numId w:val="1042"/>
        </w:numPr>
        <w:pStyle w:val="Compact"/>
      </w:pPr>
      <w:r>
        <w:t xml:space="preserve">Tipo: TXT | SOAP | XML | JSN | YML | BASE64</w:t>
      </w:r>
    </w:p>
    <w:p>
      <w:pPr>
        <w:numPr>
          <w:ilvl w:val="0"/>
          <w:numId w:val="1042"/>
        </w:numPr>
        <w:pStyle w:val="Compact"/>
      </w:pPr>
      <w:r>
        <w:t xml:space="preserve">Contenido: Código de respuesta: HTTP 500 | TXT | Numeración (entero)</w:t>
      </w:r>
    </w:p>
    <w:bookmarkEnd w:id="99"/>
    <w:bookmarkStart w:id="100"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100"/>
    <w:bookmarkStart w:id="101"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01"/>
    <w:bookmarkStart w:id="102"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3"/>
        </w:numPr>
        <w:pStyle w:val="Compact"/>
      </w:pPr>
      <w:r>
        <w:t xml:space="preserve">PRUB1. Consumo radicar.</w:t>
      </w:r>
    </w:p>
    <w:p>
      <w:pPr>
        <w:numPr>
          <w:ilvl w:val="0"/>
          <w:numId w:val="1043"/>
        </w:numPr>
        <w:pStyle w:val="Compact"/>
      </w:pPr>
      <w:r>
        <w:t xml:space="preserve">PRUB2. Falla consumo radicar.</w:t>
      </w:r>
    </w:p>
    <w:bookmarkEnd w:id="102"/>
    <w:bookmarkEnd w:id="103"/>
    <w:bookmarkEnd w:id="104"/>
    <w:bookmarkEnd w:id="105"/>
    <w:bookmarkStart w:id="122" w:name="Xe686877163483f2fa6879f96d63284a1593ddd2"/>
    <w:p>
      <w:pPr>
        <w:pStyle w:val="Heading1"/>
      </w:pPr>
      <w:r>
        <w:t xml:space="preserve">Modelo de Despliegue de Requerimientos de Interoperabilidad Proyecto JEP</w:t>
      </w:r>
    </w:p>
    <w:bookmarkStart w:id="112"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107" name="Picture"/>
            <a:graphic>
              <a:graphicData uri="http://schemas.openxmlformats.org/drawingml/2006/picture">
                <pic:pic>
                  <pic:nvPicPr>
                    <pic:cNvPr descr="images/06.ENTRG.1n.1a.1.DespliegueEntregasdeRequerimientoVersion0.1.png" id="108" name="Picture"/>
                    <pic:cNvPicPr>
                      <a:picLocks noChangeArrowheads="1" noChangeAspect="1"/>
                    </pic:cNvPicPr>
                  </pic:nvPicPr>
                  <pic:blipFill>
                    <a:blip r:embed="rId106"/>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111"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Capacidad: Integrar operaciones Conti</w:t>
            </w:r>
          </w:p>
        </w:tc>
        <w:tc>
          <w:tcPr/>
          <w:p>
            <w:pPr>
              <w:pStyle w:val="Compact"/>
              <w:jc w:val="left"/>
            </w:pPr>
            <w:r>
              <w:t xml:space="preserve">Driver</w:t>
            </w:r>
          </w:p>
        </w:tc>
        <w:tc>
          <w:tcPr/>
          <w:p>
            <w:pPr>
              <w:pStyle w:val="Compact"/>
              <w:jc w:val="left"/>
            </w:pPr>
            <w:r>
              <w:t xml:space="preserve">Característica de integración de Conti contenido en la solución de integración JEP, 2024.</w:t>
            </w:r>
          </w:p>
        </w:tc>
      </w:tr>
      <w:tr>
        <w:tc>
          <w:tcPr/>
          <w:p>
            <w:pPr>
              <w:pStyle w:val="Compact"/>
            </w:pPr>
          </w:p>
        </w:tc>
        <w:tc>
          <w:tcPr/>
          <w:p>
            <w:pPr>
              <w:pStyle w:val="Compact"/>
            </w:pPr>
          </w:p>
        </w:tc>
        <w:tc>
          <w:tcPr/>
          <w:p>
            <w:pPr>
              <w:pStyle w:val="Compact"/>
            </w:pPr>
          </w:p>
        </w:tc>
      </w:tr>
      <w:tr>
        <w:tc>
          <w:tcPr/>
          <w:p>
            <w:pPr>
              <w:pStyle w:val="Compact"/>
              <w:jc w:val="left"/>
            </w:pPr>
            <w:r>
              <w:t xml:space="preserve">Integración Conti</w:t>
            </w:r>
          </w:p>
        </w:tc>
        <w:tc>
          <w:tcPr/>
          <w:p>
            <w:pPr>
              <w:pStyle w:val="Compact"/>
              <w:jc w:val="left"/>
            </w:pPr>
            <w:r>
              <w:t xml:space="preserve">Deliverable</w:t>
            </w:r>
          </w:p>
        </w:tc>
        <w:tc>
          <w:tcPr/>
          <w:p>
            <w:pPr>
              <w:pStyle w:val="Compact"/>
              <w:jc w:val="left"/>
            </w:pPr>
            <w:r>
              <w:t xml:space="preserve">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tc>
      </w:tr>
    </w:tbl>
    <w:p>
      <w:pPr>
        <w:pStyle w:val="BodyText"/>
      </w:pPr>
      <w:r>
        <w:t xml:space="preserve">|</w:t>
      </w:r>
      <w:r>
        <w:t xml:space="preserve"> </w:t>
      </w:r>
      <w:r>
        <w:t xml:space="preserve">| REQR3. Integración con Sistema Conti x Plani | Requirement |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110" w:name="X8867828d71e0b0cd7cb7e8656d52568a93ea2ef"/>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pStyle w:val="FirstParagraph"/>
      </w:pPr>
      <w:r>
        <w:t xml:space="preserve">|</w:t>
      </w:r>
      <w:r>
        <w:t xml:space="preserve"> </w:t>
      </w:r>
      <w:r>
        <w:t xml:space="preserve">| SINT1. Integración. Ingreso a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SINT2. Integración. Consulta ítem de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SINT3. Integración. Radicar ítem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SINT4. Integración. Generación de documentos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Intermediador (cola o bus) | Application Component | Bus de Red Hat, aplicación cliente Quarkus, o intermediador de integración Apache Camel. |</w:t>
      </w:r>
      <w:r>
        <w:t xml:space="preserve"> </w:t>
      </w:r>
      <w:r>
        <w:t xml:space="preserve">| Mensaje solicitud | Data Object | Formato predefinido de intercambio de datos. |</w:t>
      </w:r>
      <w:r>
        <w:t xml:space="preserve"> </w:t>
      </w:r>
      <w:r>
        <w:t xml:space="preserve">| Mensaje respuesta o excepción | Data Object | Formato predefinido de intercambio de datos. |</w:t>
      </w:r>
      <w:r>
        <w:t xml:space="preserve"> </w:t>
      </w:r>
      <w:r>
        <w:t xml:space="preserve">| Nodo Intermediador | Application Interface | Nodo lógico en donde corren los contenedores.</w:t>
      </w:r>
      <w:r>
        <w:t xml:space="preserve"> </w:t>
      </w:r>
      <w:r>
        <w:t xml:space="preserve">|</w:t>
      </w:r>
      <w:r>
        <w:t xml:space="preserve"> </w:t>
      </w:r>
      <w:r>
        <w:t xml:space="preserve">| Nodo Integración JEP (worker) | Application Collaboration | Nodo lógico en donde corren los contenedores.</w:t>
      </w:r>
      <w:r>
        <w:t xml:space="preserve"> </w:t>
      </w:r>
      <w:r>
        <w:t xml:space="preserve">|</w:t>
      </w:r>
      <w:r>
        <w:t xml:space="preserve"> </w:t>
      </w:r>
      <w:r>
        <w:t xml:space="preserve">| Especificaciones Despliegue Versión 0.1 | Artifact |</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109">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 |</w:t>
      </w:r>
      <w:r>
        <w:t xml:space="preserve"> </w:t>
      </w:r>
      <w:r>
        <w:t xml:space="preserve">| Cluster | Application Collaboration | Orquestador de nodos y servicios (contendores) de la JEP.</w:t>
      </w:r>
      <w:r>
        <w:t xml:space="preserve"> </w:t>
      </w:r>
      <w:r>
        <w:t xml:space="preserve">|</w:t>
      </w:r>
    </w:p>
    <w:p>
      <w:pPr>
        <w:pStyle w:val="BodyText"/>
      </w:pPr>
      <w:r>
        <w:t xml:space="preserve">Table: Elementos de la vista. {#tbl:tblelement-06.ENTRG.1n.1a.1.DespliegueEntregasdeRequerimientoVersion0.1-id}</w:t>
      </w:r>
    </w:p>
    <w:p>
      <w:pPr>
        <w:pStyle w:val="BodyText"/>
      </w:pPr>
    </w:p>
    <w:bookmarkEnd w:id="110"/>
    <w:bookmarkEnd w:id="111"/>
    <w:bookmarkEnd w:id="112"/>
    <w:bookmarkStart w:id="116"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14" name="Picture"/>
            <a:graphic>
              <a:graphicData uri="http://schemas.openxmlformats.org/drawingml/2006/picture">
                <pic:pic>
                  <pic:nvPicPr>
                    <pic:cNvPr descr="images/05.REQR.1n.3n.PlantillaCasodeUso.png" id="115" name="Picture"/>
                    <pic:cNvPicPr>
                      <a:picLocks noChangeArrowheads="1" noChangeAspect="1"/>
                    </pic:cNvPicPr>
                  </pic:nvPicPr>
                  <pic:blipFill>
                    <a:blip r:embed="rId113"/>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16"/>
    <w:bookmarkStart w:id="121"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17"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117"/>
    <w:bookmarkStart w:id="118" w:name="sec:diseño-4"/>
    <w:p>
      <w:pPr>
        <w:pStyle w:val="Heading3"/>
      </w:pPr>
      <w:r>
        <w:t xml:space="preserve">Diseño</w:t>
      </w:r>
    </w:p>
    <w:p>
      <w:pPr>
        <w:pStyle w:val="FirstParagraph"/>
      </w:pPr>
      <w:r>
        <w:t xml:space="preserve">Message Construct | Message Routing | Message Transformation | Messaging Endpoints | Messaging Channels | …</w:t>
      </w:r>
    </w:p>
    <w:bookmarkEnd w:id="118"/>
    <w:bookmarkStart w:id="119"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19"/>
    <w:bookmarkStart w:id="120"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20"/>
    <w:bookmarkEnd w:id="121"/>
    <w:bookmarkEnd w:id="122"/>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113" Target="media/rId113.png" /><Relationship Type="http://schemas.openxmlformats.org/officeDocument/2006/relationships/image" Id="rId55" Target="media/rId55.png" /><Relationship Type="http://schemas.openxmlformats.org/officeDocument/2006/relationships/image" Id="rId87" Target="media/rId87.png" /><Relationship Type="http://schemas.openxmlformats.org/officeDocument/2006/relationships/image" Id="rId106" Target="media/rId106.png" /><Relationship Type="http://schemas.openxmlformats.org/officeDocument/2006/relationships/hyperlink" Id="rId109"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109"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1.9faf0a6 - Compilación para entrega - Mon, 25 Nov 2024 21:38:06 +0000</dc:creator>
  <dc:language>en</dc:language>
  <dc:subject>Implementación Proyecto</dc:subject>
  <cp:keywords>Integración, Interoperabilidad, JEP, Softgic</cp:keywords>
  <dcterms:created xsi:type="dcterms:W3CDTF">2024-11-25T21:45:46Z</dcterms:created>
  <dcterms:modified xsi:type="dcterms:W3CDTF">2024-11-25T21:45:46Z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