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ing.3n.-modelo-de-interoperabilidad"/>
    <w:p>
      <w:pPr>
        <w:pStyle w:val="Heading1"/>
      </w:pPr>
      <w:r>
        <w:t xml:space="preserve">04.ING.3n. Modelo de Interoperabilidad</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entregables-grouping">
        <w:r>
          <w:rPr>
            <w:rStyle w:val="Hyperlink"/>
          </w:rPr>
          <w:t xml:space="preserve">Entregables (Grouping)</w:t>
        </w:r>
      </w:hyperlink>
    </w:p>
    <w:p>
      <w:pPr>
        <w:numPr>
          <w:ilvl w:val="1"/>
          <w:numId w:val="1002"/>
        </w:numPr>
        <w:pStyle w:val="Compact"/>
      </w:pPr>
      <w:hyperlink w:anchor="Xc6cf14785408e8bb2e9a986f67ac83089c15ba9">
        <w:r>
          <w:rPr>
            <w:rStyle w:val="Hyperlink"/>
          </w:rPr>
          <w:t xml:space="preserve">Solución de Integración JEP (Application Component)</w:t>
        </w:r>
      </w:hyperlink>
    </w:p>
    <w:p>
      <w:pPr>
        <w:numPr>
          <w:ilvl w:val="1"/>
          <w:numId w:val="1002"/>
        </w:numPr>
        <w:pStyle w:val="Compact"/>
      </w:pPr>
      <w:hyperlink w:anchor="Xa5ba9809941b74dbf1c80ea5cba06ea75d8b0d1">
        <w:r>
          <w:rPr>
            <w:rStyle w:val="Hyperlink"/>
          </w:rPr>
          <w:t xml:space="preserve">Servicios de Integración JEP (Application Service)</w:t>
        </w:r>
      </w:hyperlink>
    </w:p>
    <w:p>
      <w:pPr>
        <w:numPr>
          <w:ilvl w:val="1"/>
          <w:numId w:val="1002"/>
        </w:numPr>
        <w:pStyle w:val="Compact"/>
      </w:pPr>
      <w:hyperlink w:anchor="nodo-integración-jep-node">
        <w:r>
          <w:rPr>
            <w:rStyle w:val="Hyperlink"/>
          </w:rPr>
          <w:t xml:space="preserve">Nodo Integración JEP (Node)</w:t>
        </w:r>
      </w:hyperlink>
    </w:p>
    <w:p>
      <w:pPr>
        <w:numPr>
          <w:ilvl w:val="2"/>
          <w:numId w:val="1003"/>
        </w:numPr>
        <w:pStyle w:val="Compact"/>
      </w:pPr>
      <w:hyperlink w:anchor="contenedor-application-component">
        <w:r>
          <w:rPr>
            <w:rStyle w:val="Hyperlink"/>
          </w:rPr>
          <w:t xml:space="preserve">Contenedor (Application Component)</w:t>
        </w:r>
      </w:hyperlink>
    </w:p>
    <w:p>
      <w:pPr>
        <w:numPr>
          <w:ilvl w:val="3"/>
          <w:numId w:val="1004"/>
        </w:numPr>
        <w:pStyle w:val="Compact"/>
      </w:pPr>
      <w:hyperlink w:anchor="réplica-lttaskpodgt-application-service">
        <w:r>
          <w:rPr>
            <w:rStyle w:val="Hyperlink"/>
          </w:rPr>
          <w:t xml:space="preserve">Réplica &lt;task/pod&gt; (Application Service)</w:t>
        </w:r>
      </w:hyperlink>
    </w:p>
    <w:p>
      <w:pPr>
        <w:numPr>
          <w:ilvl w:val="2"/>
          <w:numId w:val="1003"/>
        </w:numPr>
        <w:pStyle w:val="Compact"/>
      </w:pPr>
      <w:hyperlink w:anchor="X59fc3740ae90fe1908a2ce94afc99d639c874bd">
        <w:r>
          <w:rPr>
            <w:rStyle w:val="Hyperlink"/>
          </w:rPr>
          <w:t xml:space="preserve">Proceso &lt;&lt;worker&gt;&gt; (Application Process)</w:t>
        </w:r>
      </w:hyperlink>
    </w:p>
    <w:p>
      <w:pPr>
        <w:numPr>
          <w:ilvl w:val="1"/>
          <w:numId w:val="1002"/>
        </w:numPr>
        <w:pStyle w:val="Compact"/>
      </w:pPr>
      <w:hyperlink w:anchor="cicd-integración-jep-technology-service">
        <w:r>
          <w:rPr>
            <w:rStyle w:val="Hyperlink"/>
          </w:rPr>
          <w:t xml:space="preserve">CI/CD Integración JEP (Technology Service)</w:t>
        </w:r>
      </w:hyperlink>
    </w:p>
    <w:p>
      <w:pPr>
        <w:numPr>
          <w:ilvl w:val="0"/>
          <w:numId w:val="1001"/>
        </w:numPr>
        <w:pStyle w:val="Compact"/>
      </w:pPr>
      <w:hyperlink w:anchor="gestión-integración-grouping">
        <w:r>
          <w:rPr>
            <w:rStyle w:val="Hyperlink"/>
          </w:rPr>
          <w:t xml:space="preserve">Gestión Integración (Grouping)</w:t>
        </w:r>
      </w:hyperlink>
    </w:p>
    <w:p>
      <w:pPr>
        <w:numPr>
          <w:ilvl w:val="1"/>
          <w:numId w:val="1005"/>
        </w:numPr>
        <w:pStyle w:val="Compact"/>
      </w:pPr>
      <w:hyperlink w:anchor="X554dcc630401f30317016268a7fd32295865a08">
        <w:r>
          <w:rPr>
            <w:rStyle w:val="Hyperlink"/>
          </w:rPr>
          <w:t xml:space="preserve">Monitoreo de (ssrvc) integración (Constraint)</w:t>
        </w:r>
      </w:hyperlink>
    </w:p>
    <w:p>
      <w:pPr>
        <w:numPr>
          <w:ilvl w:val="1"/>
          <w:numId w:val="1005"/>
        </w:numPr>
        <w:pStyle w:val="Compact"/>
      </w:pPr>
      <w:hyperlink w:anchor="Xc4c1fbdb9d8db436c74010729027ec5fbb8425c">
        <w:r>
          <w:rPr>
            <w:rStyle w:val="Hyperlink"/>
          </w:rPr>
          <w:t xml:space="preserve">Requerimientos integración JEP (Requirement)</w:t>
        </w:r>
      </w:hyperlink>
    </w:p>
    <w:p>
      <w:pPr>
        <w:numPr>
          <w:ilvl w:val="1"/>
          <w:numId w:val="1005"/>
        </w:numPr>
        <w:pStyle w:val="Compact"/>
      </w:pPr>
      <w:hyperlink w:anchor="alcance-proyecto-integración-goal">
        <w:r>
          <w:rPr>
            <w:rStyle w:val="Hyperlink"/>
          </w:rPr>
          <w:t xml:space="preserve">Alcance Proyecto Integración (Goal)</w:t>
        </w:r>
      </w:hyperlink>
    </w:p>
    <w:p>
      <w:pPr>
        <w:numPr>
          <w:ilvl w:val="1"/>
          <w:numId w:val="1005"/>
        </w:numPr>
        <w:pStyle w:val="Compact"/>
      </w:pPr>
      <w:hyperlink w:anchor="X3b08bddd78e448255ab3504152f2267b272ec7d">
        <w:r>
          <w:rPr>
            <w:rStyle w:val="Hyperlink"/>
          </w:rPr>
          <w:t xml:space="preserve">Justificación Proyecto Integración JEP (Driver)</w:t>
        </w:r>
      </w:hyperlink>
    </w:p>
    <w:p>
      <w:pPr>
        <w:numPr>
          <w:ilvl w:val="1"/>
          <w:numId w:val="1005"/>
        </w:numPr>
        <w:pStyle w:val="Compact"/>
      </w:pPr>
      <w:hyperlink w:anchor="X06992f82b94147ea88b2fc433e049844dd74bbe">
        <w:r>
          <w:rPr>
            <w:rStyle w:val="Hyperlink"/>
          </w:rPr>
          <w:t xml:space="preserve">Objeto Contractual Proyecto JEP (Principle)</w:t>
        </w:r>
      </w:hyperlink>
    </w:p>
    <w:p>
      <w:pPr>
        <w:numPr>
          <w:ilvl w:val="1"/>
          <w:numId w:val="1005"/>
        </w:numPr>
        <w:pStyle w:val="Compact"/>
      </w:pPr>
      <w:hyperlink w:anchor="X710c9cd41b34955f5b34e1df61ea2fd778f38e8">
        <w:r>
          <w:rPr>
            <w:rStyle w:val="Hyperlink"/>
          </w:rPr>
          <w:t xml:space="preserve">Uso de Infraestrucutra Tecnológica JEP (Constraint)</w:t>
        </w:r>
      </w:hyperlink>
    </w:p>
    <w:p>
      <w:pPr>
        <w:numPr>
          <w:ilvl w:val="0"/>
          <w:numId w:val="1001"/>
        </w:numPr>
        <w:pStyle w:val="Compact"/>
      </w:pPr>
      <w:hyperlink w:anchor="X54d14591d874bf89f2e1fe7b97b01330f1343fe">
        <w:r>
          <w:rPr>
            <w:rStyle w:val="Hyperlink"/>
          </w:rPr>
          <w:t xml:space="preserve">Modelo de Integración JEP, 2024. Softgic (Grouping)</w:t>
        </w:r>
      </w:hyperlink>
    </w:p>
    <w:p>
      <w:pPr>
        <w:numPr>
          <w:ilvl w:val="1"/>
          <w:numId w:val="1006"/>
        </w:numPr>
        <w:pStyle w:val="Compact"/>
      </w:pPr>
      <w:hyperlink w:anchor="transporte-capability">
        <w:r>
          <w:rPr>
            <w:rStyle w:val="Hyperlink"/>
          </w:rPr>
          <w:t xml:space="preserve">Transporte (Capability)</w:t>
        </w:r>
      </w:hyperlink>
    </w:p>
    <w:p>
      <w:pPr>
        <w:numPr>
          <w:ilvl w:val="1"/>
          <w:numId w:val="1006"/>
        </w:numPr>
        <w:pStyle w:val="Compact"/>
      </w:pPr>
      <w:hyperlink w:anchor="plano-de-administración-capability">
        <w:r>
          <w:rPr>
            <w:rStyle w:val="Hyperlink"/>
          </w:rPr>
          <w:t xml:space="preserve">Plano de Administración (Capability)</w:t>
        </w:r>
      </w:hyperlink>
    </w:p>
    <w:p>
      <w:pPr>
        <w:numPr>
          <w:ilvl w:val="1"/>
          <w:numId w:val="1006"/>
        </w:numPr>
        <w:pStyle w:val="Compact"/>
      </w:pPr>
      <w:hyperlink w:anchor="esquema-de-datos-capability">
        <w:r>
          <w:rPr>
            <w:rStyle w:val="Hyperlink"/>
          </w:rPr>
          <w:t xml:space="preserve">Esquema de Datos (Capability)</w:t>
        </w:r>
      </w:hyperlink>
    </w:p>
    <w:p>
      <w:pPr>
        <w:numPr>
          <w:ilvl w:val="1"/>
          <w:numId w:val="1006"/>
        </w:numPr>
        <w:pStyle w:val="Compact"/>
      </w:pPr>
      <w:hyperlink w:anchor="transformación-de-mensajes-capability">
        <w:r>
          <w:rPr>
            <w:rStyle w:val="Hyperlink"/>
          </w:rPr>
          <w:t xml:space="preserve">Transformación de Mensajes (Capability)</w:t>
        </w:r>
      </w:hyperlink>
    </w:p>
    <w:p>
      <w:pPr>
        <w:numPr>
          <w:ilvl w:val="1"/>
          <w:numId w:val="1006"/>
        </w:numPr>
        <w:pStyle w:val="Compact"/>
      </w:pPr>
      <w:hyperlink w:anchor="modelo-de-seguridad-capability">
        <w:r>
          <w:rPr>
            <w:rStyle w:val="Hyperlink"/>
          </w:rPr>
          <w:t xml:space="preserve">Modelo de Seguridad (Capability)</w:t>
        </w:r>
      </w:hyperlink>
    </w:p>
    <w:p>
      <w:pPr>
        <w:numPr>
          <w:ilvl w:val="1"/>
          <w:numId w:val="1006"/>
        </w:numPr>
        <w:pStyle w:val="Compact"/>
      </w:pPr>
      <w:hyperlink w:anchor="condiciones-de-despliegue-capability">
        <w:r>
          <w:rPr>
            <w:rStyle w:val="Hyperlink"/>
          </w:rPr>
          <w:t xml:space="preserve">Condiciones de Despliegue (Capability)</w:t>
        </w:r>
      </w:hyperlink>
    </w:p>
    <w:p>
      <w:pPr>
        <w:numPr>
          <w:ilvl w:val="1"/>
          <w:numId w:val="1006"/>
        </w:numPr>
        <w:pStyle w:val="Compact"/>
      </w:pPr>
      <w:hyperlink w:anchor="composición-de-servicios-capability">
        <w:r>
          <w:rPr>
            <w:rStyle w:val="Hyperlink"/>
          </w:rPr>
          <w:t xml:space="preserve">Composición de Servicios (Capability)</w:t>
        </w:r>
      </w:hyperlink>
    </w:p>
    <w:p>
      <w:pPr>
        <w:numPr>
          <w:ilvl w:val="1"/>
          <w:numId w:val="1006"/>
        </w:numPr>
        <w:pStyle w:val="Compact"/>
      </w:pPr>
      <w:hyperlink w:anchor="proveedores-y-consumidores-capability">
        <w:r>
          <w:rPr>
            <w:rStyle w:val="Hyperlink"/>
          </w:rPr>
          <w:t xml:space="preserve">Proveedores y Consumidores (Capability)</w:t>
        </w:r>
      </w:hyperlink>
    </w:p>
    <w:p>
      <w:pPr>
        <w:numPr>
          <w:ilvl w:val="1"/>
          <w:numId w:val="1006"/>
        </w:numPr>
        <w:pStyle w:val="Compact"/>
      </w:pPr>
      <w:hyperlink w:anchor="alcance-de-la-integración-capability">
        <w:r>
          <w:rPr>
            <w:rStyle w:val="Hyperlink"/>
          </w:rPr>
          <w:t xml:space="preserve">Alcance de la Integración (Capability)</w:t>
        </w:r>
      </w:hyperlink>
    </w:p>
    <w:p>
      <w:pPr>
        <w:numPr>
          <w:ilvl w:val="1"/>
          <w:numId w:val="1006"/>
        </w:numPr>
        <w:pStyle w:val="Compact"/>
      </w:pPr>
      <w:hyperlink w:anchor="tecnologías-capability">
        <w:r>
          <w:rPr>
            <w:rStyle w:val="Hyperlink"/>
          </w:rPr>
          <w:t xml:space="preserve">Tecnologías (Capability)</w:t>
        </w:r>
      </w:hyperlink>
    </w:p>
    <w:p>
      <w:pPr>
        <w:numPr>
          <w:ilvl w:val="1"/>
          <w:numId w:val="1006"/>
        </w:numPr>
        <w:pStyle w:val="Compact"/>
      </w:pPr>
      <w:hyperlink w:anchor="conectividad-api-capability">
        <w:r>
          <w:rPr>
            <w:rStyle w:val="Hyperlink"/>
          </w:rPr>
          <w:t xml:space="preserve">Conectividad API (Capability)</w:t>
        </w:r>
      </w:hyperlink>
    </w:p>
    <w:p>
      <w:pPr>
        <w:numPr>
          <w:ilvl w:val="1"/>
          <w:numId w:val="1006"/>
        </w:numPr>
        <w:pStyle w:val="Compact"/>
      </w:pPr>
      <w:hyperlink w:anchor="X64f0122ebc3e460b294cec3bfceac669df861f2">
        <w:r>
          <w:rPr>
            <w:rStyle w:val="Hyperlink"/>
          </w:rPr>
          <w:t xml:space="preserve">Contratos de Interoperabilidad (Capability)</w:t>
        </w:r>
      </w:hyperlink>
    </w:p>
    <w:p>
      <w:pPr>
        <w:numPr>
          <w:ilvl w:val="1"/>
          <w:numId w:val="1006"/>
        </w:numPr>
        <w:pStyle w:val="Compact"/>
      </w:pPr>
      <w:hyperlink w:anchor="tipo-de-comunicación-capability">
        <w:r>
          <w:rPr>
            <w:rStyle w:val="Hyperlink"/>
          </w:rPr>
          <w:t xml:space="preserve">Tipo de Comunicación (Capability)</w:t>
        </w:r>
      </w:hyperlink>
    </w:p>
    <w:p>
      <w:pPr>
        <w:numPr>
          <w:ilvl w:val="1"/>
          <w:numId w:val="1006"/>
        </w:numPr>
        <w:pStyle w:val="Compact"/>
      </w:pPr>
      <w:hyperlink w:anchor="sistema-de-mensajes-capability">
        <w:r>
          <w:rPr>
            <w:rStyle w:val="Hyperlink"/>
          </w:rPr>
          <w:t xml:space="preserve">Sistema de Mensajes (Capability)</w:t>
        </w:r>
      </w:hyperlink>
    </w:p>
    <w:p>
      <w:pPr>
        <w:numPr>
          <w:ilvl w:val="1"/>
          <w:numId w:val="1006"/>
        </w:numPr>
        <w:pStyle w:val="Compact"/>
      </w:pPr>
      <w:hyperlink w:anchor="patrón-de-integración-eip-capability">
        <w:r>
          <w:rPr>
            <w:rStyle w:val="Hyperlink"/>
          </w:rPr>
          <w:t xml:space="preserve">Patrón de Integración (EIP) (Capability)</w:t>
        </w:r>
      </w:hyperlink>
    </w:p>
    <w:p>
      <w:pPr>
        <w:numPr>
          <w:ilvl w:val="1"/>
          <w:numId w:val="1006"/>
        </w:numPr>
        <w:pStyle w:val="Compact"/>
      </w:pPr>
      <w:hyperlink w:anchor="integración-de-procesos-capability">
        <w:r>
          <w:rPr>
            <w:rStyle w:val="Hyperlink"/>
          </w:rPr>
          <w:t xml:space="preserve">Integración de Procesos (Capability)</w:t>
        </w:r>
      </w:hyperlink>
    </w:p>
    <w:p>
      <w:pPr>
        <w:numPr>
          <w:ilvl w:val="1"/>
          <w:numId w:val="1006"/>
        </w:numPr>
        <w:pStyle w:val="Compact"/>
      </w:pPr>
      <w:hyperlink w:anchor="flujo-de-datos-capability">
        <w:r>
          <w:rPr>
            <w:rStyle w:val="Hyperlink"/>
          </w:rPr>
          <w:t xml:space="preserve">Flujo de datos (Capability)</w:t>
        </w:r>
      </w:hyperlink>
    </w:p>
    <w:p>
      <w:pPr>
        <w:numPr>
          <w:ilvl w:val="1"/>
          <w:numId w:val="1006"/>
        </w:numPr>
        <w:pStyle w:val="Compact"/>
      </w:pPr>
      <w:hyperlink w:anchor="solución-de-integración-capability">
        <w:r>
          <w:rPr>
            <w:rStyle w:val="Hyperlink"/>
          </w:rPr>
          <w:t xml:space="preserve">Solución de Integración (Capability)</w:t>
        </w:r>
      </w:hyperlink>
    </w:p>
    <w:p>
      <w:pPr>
        <w:numPr>
          <w:ilvl w:val="1"/>
          <w:numId w:val="1006"/>
        </w:numPr>
        <w:pStyle w:val="Compact"/>
      </w:pPr>
      <w:hyperlink w:anchor="herramientas-capability">
        <w:r>
          <w:rPr>
            <w:rStyle w:val="Hyperlink"/>
          </w:rPr>
          <w:t xml:space="preserve">Herramientas (Capability)</w:t>
        </w:r>
      </w:hyperlink>
    </w:p>
    <w:bookmarkStart w:id="23" w:name="introducción"/>
    <w:p>
      <w:pPr>
        <w:pStyle w:val="Heading2"/>
      </w:pPr>
      <w:r>
        <w:t xml:space="preserve">Introducción</w:t>
      </w:r>
    </w:p>
    <w:p>
      <w:pPr>
        <w:pStyle w:val="CaptionedFigure"/>
      </w:pPr>
      <w:r>
        <w:drawing>
          <wp:inline>
            <wp:extent cx="5207000" cy="3186840"/>
            <wp:effectExtent b="0" l="0" r="0" t="0"/>
            <wp:docPr descr="04.ING.3n. Modelo de Interoperabilidad" title="" id="21" name="Picture"/>
            <a:graphic>
              <a:graphicData uri="http://schemas.openxmlformats.org/drawingml/2006/picture">
                <pic:pic>
                  <pic:nvPicPr>
                    <pic:cNvPr descr="01.1n.modelointegrac.png" id="22" name="Picture"/>
                    <pic:cNvPicPr>
                      <a:picLocks noChangeArrowheads="1" noChangeAspect="1"/>
                    </pic:cNvPicPr>
                  </pic:nvPicPr>
                  <pic:blipFill>
                    <a:blip r:embed="rId20"/>
                    <a:stretch>
                      <a:fillRect/>
                    </a:stretch>
                  </pic:blipFill>
                  <pic:spPr bwMode="auto">
                    <a:xfrm>
                      <a:off x="0" y="0"/>
                      <a:ext cx="5207000" cy="3186840"/>
                    </a:xfrm>
                    <a:prstGeom prst="rect">
                      <a:avLst/>
                    </a:prstGeom>
                    <a:noFill/>
                    <a:ln w="9525">
                      <a:noFill/>
                      <a:headEnd/>
                      <a:tailEnd/>
                    </a:ln>
                  </pic:spPr>
                </pic:pic>
              </a:graphicData>
            </a:graphic>
          </wp:inline>
        </w:drawing>
      </w:r>
    </w:p>
    <w:p>
      <w:pPr>
        <w:pStyle w:val="ImageCaption"/>
      </w:pPr>
      <w:r>
        <w:t xml:space="preserve">04.ING.3n. Modelo de Interoperabilidad</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23"/>
    <w:bookmarkStart w:id="24" w:name="Xaf69db172b06785687a05c79f124cd12110fdd0"/>
    <w:p>
      <w:pPr>
        <w:pStyle w:val="Heading2"/>
      </w:pPr>
      <w:r>
        <w:t xml:space="preserve">Características Principales del Modelo de Integración JEP</w:t>
      </w:r>
    </w:p>
    <w:p>
      <w:pPr>
        <w:numPr>
          <w:ilvl w:val="0"/>
          <w:numId w:val="1007"/>
        </w:numPr>
        <w:pStyle w:val="Compact"/>
      </w:pPr>
      <w:r>
        <w:t xml:space="preserve">API de integración</w:t>
      </w:r>
    </w:p>
    <w:p>
      <w:pPr>
        <w:numPr>
          <w:ilvl w:val="0"/>
          <w:numId w:val="1007"/>
        </w:numPr>
        <w:pStyle w:val="Compact"/>
      </w:pPr>
      <w:r>
        <w:t xml:space="preserve">Patrones de integración empresarial (EIP)</w:t>
      </w:r>
    </w:p>
    <w:p>
      <w:pPr>
        <w:numPr>
          <w:ilvl w:val="0"/>
          <w:numId w:val="1007"/>
        </w:numPr>
        <w:pStyle w:val="Compact"/>
      </w:pPr>
      <w:r>
        <w:t xml:space="preserve">Sistema de Mensajería entre servicios de integración y aplicaciones JEP</w:t>
      </w:r>
    </w:p>
    <w:p>
      <w:pPr>
        <w:numPr>
          <w:ilvl w:val="0"/>
          <w:numId w:val="1007"/>
        </w:numPr>
        <w:pStyle w:val="Compact"/>
      </w:pPr>
      <w:r>
        <w:t xml:space="preserve">Flujos de datos para integración</w:t>
      </w:r>
    </w:p>
    <w:p>
      <w:pPr>
        <w:numPr>
          <w:ilvl w:val="0"/>
          <w:numId w:val="1007"/>
        </w:numPr>
        <w:pStyle w:val="Compact"/>
      </w:pPr>
      <w:r>
        <w:t xml:space="preserve">Arquitectura de clusters y contenedores para integración</w:t>
      </w:r>
    </w:p>
    <w:p>
      <w:pPr>
        <w:numPr>
          <w:ilvl w:val="0"/>
          <w:numId w:val="1007"/>
        </w:numPr>
        <w:pStyle w:val="Compact"/>
      </w:pPr>
      <w:r>
        <w:t xml:space="preserve">Uso de infraestructura tecnológica JEP</w:t>
      </w:r>
    </w:p>
    <w:bookmarkEnd w:id="24"/>
    <w:bookmarkStart w:id="32" w:name="entregables"/>
    <w:p>
      <w:pPr>
        <w:pStyle w:val="Heading2"/>
      </w:pPr>
      <w:r>
        <w:t xml:space="preserve">Entregables</w:t>
      </w:r>
    </w:p>
    <w:bookmarkStart w:id="25" w:name="solución-de-integración-jep"/>
    <w:p>
      <w:pPr>
        <w:pStyle w:val="Heading3"/>
      </w:pPr>
      <w:r>
        <w:t xml:space="preserve">Solución de Integración JEP</w:t>
      </w:r>
    </w:p>
    <w:p>
      <w:pPr>
        <w:pStyle w:val="FirstParagraph"/>
      </w:pPr>
      <w:r>
        <w:t xml:space="preserve">Documentación técnica del diseño de solución de la integración JEP, 2024.</w:t>
      </w:r>
    </w:p>
    <w:bookmarkEnd w:id="25"/>
    <w:bookmarkStart w:id="26" w:name="servicios-de-integración-jep"/>
    <w:p>
      <w:pPr>
        <w:pStyle w:val="Heading3"/>
      </w:pPr>
      <w:r>
        <w:t xml:space="preserve">Servicios de Integración JEP</w:t>
      </w:r>
    </w:p>
    <w:p>
      <w:pPr>
        <w:pStyle w:val="FirstParagraph"/>
      </w:pPr>
      <w:r>
        <w:t xml:space="preserve">Servicios ejecutables desplegados en los entornos de software JEP.</w:t>
      </w:r>
    </w:p>
    <w:bookmarkEnd w:id="26"/>
    <w:bookmarkStart w:id="30" w:name="nodo-integración-jep"/>
    <w:p>
      <w:pPr>
        <w:pStyle w:val="Heading3"/>
      </w:pPr>
      <w:r>
        <w:t xml:space="preserve">Nodo Integración JEP</w:t>
      </w:r>
    </w:p>
    <w:p>
      <w:pPr>
        <w:pStyle w:val="FirstParagraph"/>
      </w:pPr>
      <w:r>
        <w:t xml:space="preserve">Cluster de ejecución de los nodos y procesos de (servicios) de integración del proyecto.</w:t>
      </w:r>
    </w:p>
    <w:bookmarkStart w:id="28" w:name="contenedor"/>
    <w:p>
      <w:pPr>
        <w:pStyle w:val="Heading4"/>
      </w:pPr>
      <w:r>
        <w:t xml:space="preserve">Contenedor</w:t>
      </w:r>
    </w:p>
    <w:p>
      <w:pPr>
        <w:pStyle w:val="FirstParagraph"/>
      </w:pPr>
      <w:r>
        <w:t xml:space="preserve">Contenedores de los servicios de integración del proyecto desplegados en la infraestructura tecnológica JEP.</w:t>
      </w:r>
    </w:p>
    <w:bookmarkStart w:id="27" w:name="réplica-taskpod"/>
    <w:p>
      <w:pPr>
        <w:pStyle w:val="Heading5"/>
      </w:pPr>
      <w:r>
        <w:t xml:space="preserve">Réplica &lt;task/pod&gt;</w:t>
      </w:r>
    </w:p>
    <w:p>
      <w:pPr>
        <w:pStyle w:val="FirstParagraph"/>
      </w:pPr>
      <w:r>
        <w:t xml:space="preserve">Servicios de integración del proyecto desplegados en la infraestructura tecnológica JEP.</w:t>
      </w:r>
    </w:p>
    <w:bookmarkEnd w:id="27"/>
    <w:bookmarkEnd w:id="28"/>
    <w:bookmarkStart w:id="29" w:name="proceso-worker"/>
    <w:p>
      <w:pPr>
        <w:pStyle w:val="Heading4"/>
      </w:pPr>
      <w:r>
        <w:t xml:space="preserve">Proceso &lt;&lt;worker&gt;&gt;</w:t>
      </w:r>
    </w:p>
    <w:p>
      <w:pPr>
        <w:pStyle w:val="FirstParagraph"/>
      </w:pPr>
      <w:r>
        <w:t xml:space="preserve">Configuración de servicios de integración del proyecto dentro de la infraestructura tecnológica JEP.</w:t>
      </w:r>
    </w:p>
    <w:bookmarkEnd w:id="29"/>
    <w:bookmarkEnd w:id="30"/>
    <w:bookmarkStart w:id="31" w:name="cicd-integración-jep"/>
    <w:p>
      <w:pPr>
        <w:pStyle w:val="Heading3"/>
      </w:pPr>
      <w:r>
        <w:t xml:space="preserve">CI/CD Integración JEP</w:t>
      </w:r>
    </w:p>
    <w:p>
      <w:pPr>
        <w:pStyle w:val="FirstParagraph"/>
      </w:pPr>
      <w:r>
        <w:t xml:space="preserve">Cadenas de integración y despliegue continuo de los servicios de integración del proyecto de integración JEP, 2024.</w:t>
      </w:r>
    </w:p>
    <w:bookmarkEnd w:id="31"/>
    <w:bookmarkEnd w:id="32"/>
    <w:bookmarkStart w:id="39" w:name="gestión-integración"/>
    <w:p>
      <w:pPr>
        <w:pStyle w:val="Heading2"/>
      </w:pPr>
      <w:r>
        <w:t xml:space="preserve">Gestión Integración</w:t>
      </w:r>
    </w:p>
    <w:bookmarkStart w:id="33" w:name="monitoreo-de-ssrvc-integración"/>
    <w:p>
      <w:pPr>
        <w:pStyle w:val="Heading3"/>
      </w:pPr>
      <w:r>
        <w:t xml:space="preserve">Monitoreo de (ssrvc) integración</w:t>
      </w:r>
    </w:p>
    <w:bookmarkEnd w:id="33"/>
    <w:bookmarkStart w:id="34" w:name="requerimientos-integración-jep"/>
    <w:p>
      <w:pPr>
        <w:pStyle w:val="Heading3"/>
      </w:pPr>
      <w:r>
        <w:t xml:space="preserve">Requerimientos integración JEP</w:t>
      </w:r>
    </w:p>
    <w:p>
      <w:pPr>
        <w:pStyle w:val="FirstParagraph"/>
      </w:pPr>
      <w:r>
        <w:t xml:space="preserve">Gestión de requerimientos del proyecto de integración JEP, 2024.</w:t>
      </w:r>
    </w:p>
    <w:p>
      <w:pPr>
        <w:numPr>
          <w:ilvl w:val="0"/>
          <w:numId w:val="1008"/>
        </w:numPr>
        <w:pStyle w:val="Compact"/>
      </w:pPr>
      <w:r>
        <w:t xml:space="preserve">Implementación de 20 o más servicios de integración a 31 de diciembre del 2024.</w:t>
      </w:r>
    </w:p>
    <w:p>
      <w:pPr>
        <w:numPr>
          <w:ilvl w:val="0"/>
          <w:numId w:val="1008"/>
        </w:numPr>
        <w:pStyle w:val="Compact"/>
      </w:pPr>
      <w:r>
        <w:t xml:space="preserve">Pasar de modelo integración directa (EIA) a integración empresarial/bus (EIP).</w:t>
      </w:r>
    </w:p>
    <w:bookmarkEnd w:id="34"/>
    <w:bookmarkStart w:id="35" w:name="alcance-proyecto-integración"/>
    <w:p>
      <w:pPr>
        <w:pStyle w:val="Heading3"/>
      </w:pPr>
      <w:r>
        <w:t xml:space="preserve">Alcance Proyecto Integración</w:t>
      </w:r>
    </w:p>
    <w:p>
      <w:pPr>
        <w:pStyle w:val="FirstParagraph"/>
      </w:pPr>
      <w:r>
        <w:t xml:space="preserve">Implementación de 20 o más servicios de integración al 31 de diciembre del 2024.</w:t>
      </w:r>
    </w:p>
    <w:bookmarkEnd w:id="35"/>
    <w:bookmarkStart w:id="36" w:name="justificación-proyecto-integración-jep"/>
    <w:p>
      <w:pPr>
        <w:pStyle w:val="Heading3"/>
      </w:pPr>
      <w:r>
        <w:t xml:space="preserve">Justificación Proyecto Integración JEP</w:t>
      </w:r>
    </w:p>
    <w:bookmarkEnd w:id="36"/>
    <w:bookmarkStart w:id="37" w:name="objeto-contractual-proyecto-jep"/>
    <w:p>
      <w:pPr>
        <w:pStyle w:val="Heading3"/>
      </w:pPr>
      <w:r>
        <w:t xml:space="preserve">Objeto Contractual Proyecto JEP</w:t>
      </w:r>
    </w:p>
    <w:p>
      <w:pPr>
        <w:pStyle w:val="FirstParagraph"/>
      </w:pPr>
      <w:r>
        <w:t xml:space="preserve">Prestar los servicios de administración y monitoreo de la solución de interoperabilidadDe los sistemas de información de la JEP; así como la implementación de nuevos desarrollos o parametrizaciones que esta solución requiera.</w:t>
      </w:r>
    </w:p>
    <w:bookmarkEnd w:id="37"/>
    <w:bookmarkStart w:id="38" w:name="uso-de-infraestrucutra-tecnológica-jep"/>
    <w:p>
      <w:pPr>
        <w:pStyle w:val="Heading3"/>
      </w:pPr>
      <w:r>
        <w:t xml:space="preserve">Uso de Infraestrucutra Tecnológica JEP</w:t>
      </w:r>
    </w:p>
    <w:p>
      <w:pPr>
        <w:pStyle w:val="FirstParagraph"/>
      </w:pPr>
      <w:r>
        <w:t xml:space="preserve">Openshift, Cluster y contenedores.</w:t>
      </w:r>
    </w:p>
    <w:bookmarkEnd w:id="38"/>
    <w:bookmarkEnd w:id="39"/>
    <w:bookmarkStart w:id="60" w:name="modelo-de-integración-jep-2024.-softgic"/>
    <w:p>
      <w:pPr>
        <w:pStyle w:val="Heading2"/>
      </w:pPr>
      <w:r>
        <w:t xml:space="preserve">Modelo de Integración JEP, 2024. Softgic</w:t>
      </w:r>
    </w:p>
    <w:bookmarkStart w:id="40" w:name="transporte"/>
    <w:p>
      <w:pPr>
        <w:pStyle w:val="Heading3"/>
      </w:pPr>
      <w:r>
        <w:t xml:space="preserve">Transporte</w:t>
      </w:r>
    </w:p>
    <w:bookmarkEnd w:id="40"/>
    <w:bookmarkStart w:id="41" w:name="plano-de-administración"/>
    <w:p>
      <w:pPr>
        <w:pStyle w:val="Heading3"/>
      </w:pPr>
      <w:r>
        <w:t xml:space="preserve">Plano de Administración</w:t>
      </w:r>
    </w:p>
    <w:p>
      <w:pPr>
        <w:pStyle w:val="FirstParagraph"/>
      </w:pPr>
      <w:r>
        <w:t xml:space="preserve">Monitoreo de rendimiento de ssvc de integración.</w:t>
      </w:r>
    </w:p>
    <w:bookmarkEnd w:id="41"/>
    <w:bookmarkStart w:id="42" w:name="esquema-de-datos"/>
    <w:p>
      <w:pPr>
        <w:pStyle w:val="Heading3"/>
      </w:pPr>
      <w:r>
        <w:t xml:space="preserve">Esquema de Datos</w:t>
      </w:r>
    </w:p>
    <w:bookmarkEnd w:id="42"/>
    <w:bookmarkStart w:id="43" w:name="transformación-de-mensajes"/>
    <w:p>
      <w:pPr>
        <w:pStyle w:val="Heading3"/>
      </w:pPr>
      <w:r>
        <w:t xml:space="preserve">Transformación de Mensajes</w:t>
      </w:r>
    </w:p>
    <w:p>
      <w:pPr>
        <w:pStyle w:val="FirstParagraph"/>
      </w:pPr>
      <w:r>
        <w:t xml:space="preserve">Mapeos, homologaciones y correspondencias.</w:t>
      </w:r>
    </w:p>
    <w:bookmarkEnd w:id="43"/>
    <w:bookmarkStart w:id="44" w:name="modelo-de-seguridad"/>
    <w:p>
      <w:pPr>
        <w:pStyle w:val="Heading3"/>
      </w:pPr>
      <w:r>
        <w:t xml:space="preserve">Modelo de Seguridad</w:t>
      </w:r>
    </w:p>
    <w:p>
      <w:pPr>
        <w:pStyle w:val="FirstParagraph"/>
      </w:pPr>
      <w:r>
        <w:t xml:space="preserve">Autenticación mixta: JWS y tradicional (usuario, contraseña).</w:t>
      </w:r>
    </w:p>
    <w:bookmarkEnd w:id="44"/>
    <w:bookmarkStart w:id="45" w:name="condiciones-de-despliegue"/>
    <w:p>
      <w:pPr>
        <w:pStyle w:val="Heading3"/>
      </w:pPr>
      <w:r>
        <w:t xml:space="preserve">Condiciones de Despliegue</w:t>
      </w:r>
    </w:p>
    <w:bookmarkEnd w:id="45"/>
    <w:bookmarkStart w:id="46" w:name="composición-de-servicios"/>
    <w:p>
      <w:pPr>
        <w:pStyle w:val="Heading3"/>
      </w:pPr>
      <w:r>
        <w:t xml:space="preserve">Composición de Servicios</w:t>
      </w:r>
    </w:p>
    <w:p>
      <w:pPr>
        <w:pStyle w:val="FirstParagraph"/>
      </w:pPr>
      <w:r>
        <w:t xml:space="preserve">Combine together a collection of services into a larger service. Using Camel’s pattern-based integration, define business functions by gathering data from multiple endpoints. Compositions typically resolve non-trivial or complex integrations.</w:t>
      </w:r>
    </w:p>
    <w:bookmarkEnd w:id="46"/>
    <w:bookmarkStart w:id="47" w:name="proveedores-y-consumidores"/>
    <w:p>
      <w:pPr>
        <w:pStyle w:val="Heading3"/>
      </w:pPr>
      <w:r>
        <w:t xml:space="preserve">Proveedores y Consumidores</w:t>
      </w:r>
    </w:p>
    <w:bookmarkEnd w:id="47"/>
    <w:bookmarkStart w:id="48" w:name="alcance-de-la-integración"/>
    <w:p>
      <w:pPr>
        <w:pStyle w:val="Heading3"/>
      </w:pPr>
      <w:r>
        <w:t xml:space="preserve">Alcance de la Integración</w:t>
      </w:r>
    </w:p>
    <w:p>
      <w:pPr>
        <w:pStyle w:val="FirstParagraph"/>
      </w:pPr>
      <w:r>
        <w:t xml:space="preserve">Aplicaciones que tienen integraciones existentes: necesitamos listados de ssvc pasar al bus.</w:t>
      </w:r>
    </w:p>
    <w:bookmarkEnd w:id="48"/>
    <w:bookmarkStart w:id="49" w:name="tecnologías"/>
    <w:p>
      <w:pPr>
        <w:pStyle w:val="Heading3"/>
      </w:pPr>
      <w:r>
        <w:t xml:space="preserve">Tecnologías</w:t>
      </w:r>
    </w:p>
    <w:p>
      <w:pPr>
        <w:pStyle w:val="FirstParagraph"/>
      </w:pPr>
      <w:r>
        <w:t xml:space="preserve">Red Hat Integration is a suite of runtimes, frameworks, and services for building applications natively on Red Hat OpenShift.</w:t>
      </w:r>
    </w:p>
    <w:bookmarkEnd w:id="49"/>
    <w:bookmarkStart w:id="50" w:name="conectividad-api"/>
    <w:p>
      <w:pPr>
        <w:pStyle w:val="Heading3"/>
      </w:pPr>
      <w:r>
        <w:t xml:space="preserve">Conectividad API</w:t>
      </w:r>
    </w:p>
    <w:bookmarkEnd w:id="50"/>
    <w:bookmarkStart w:id="51" w:name="contratos-de-interoperabilidad"/>
    <w:p>
      <w:pPr>
        <w:pStyle w:val="Heading3"/>
      </w:pPr>
      <w:r>
        <w:t xml:space="preserve">Contratos de Interoperabilidad</w:t>
      </w:r>
    </w:p>
    <w:bookmarkEnd w:id="51"/>
    <w:bookmarkStart w:id="52" w:name="tipo-de-comunicación"/>
    <w:p>
      <w:pPr>
        <w:pStyle w:val="Heading3"/>
      </w:pPr>
      <w:r>
        <w:t xml:space="preserve">Tipo de Comunicación</w:t>
      </w:r>
    </w:p>
    <w:p>
      <w:pPr>
        <w:pStyle w:val="FirstParagraph"/>
      </w:pPr>
      <w:r>
        <w:t xml:space="preserve">Pasar llamadas síncronas a asincrónicas: analizar apps que deben cambiar comunicación</w:t>
      </w:r>
    </w:p>
    <w:bookmarkEnd w:id="52"/>
    <w:bookmarkStart w:id="53" w:name="sistema-de-mensajes"/>
    <w:p>
      <w:pPr>
        <w:pStyle w:val="Heading3"/>
      </w:pPr>
      <w:r>
        <w:t xml:space="preserve">Sistema de Mensajes</w:t>
      </w:r>
    </w:p>
    <w:bookmarkEnd w:id="53"/>
    <w:bookmarkStart w:id="54" w:name="patrón-de-integración-eip"/>
    <w:p>
      <w:pPr>
        <w:pStyle w:val="Heading3"/>
      </w:pPr>
      <w:r>
        <w:t xml:space="preserve">Patrón de Integración (EIP)</w:t>
      </w:r>
    </w:p>
    <w:p>
      <w:pPr>
        <w:pStyle w:val="FirstParagraph"/>
      </w:pPr>
      <w:r>
        <w:t xml:space="preserve">Pasar de modelo integrac. EIA (intgrc directa) a EIP (integrc empresarial/bus).</w:t>
      </w:r>
    </w:p>
    <w:bookmarkEnd w:id="54"/>
    <w:bookmarkStart w:id="55" w:name="integración-de-procesos"/>
    <w:p>
      <w:pPr>
        <w:pStyle w:val="Heading3"/>
      </w:pPr>
      <w:r>
        <w:t xml:space="preserve">Integración de Procesos</w:t>
      </w:r>
    </w:p>
    <w:bookmarkEnd w:id="55"/>
    <w:bookmarkStart w:id="56" w:name="flujo-de-datos"/>
    <w:p>
      <w:pPr>
        <w:pStyle w:val="Heading3"/>
      </w:pPr>
      <w:r>
        <w:t xml:space="preserve">Flujo de datos</w:t>
      </w:r>
    </w:p>
    <w:bookmarkEnd w:id="56"/>
    <w:bookmarkStart w:id="58" w:name="solución-de-integración"/>
    <w:p>
      <w:pPr>
        <w:pStyle w:val="Heading3"/>
      </w:pPr>
      <w:r>
        <w:t xml:space="preserve">Solución de Integración</w:t>
      </w:r>
    </w:p>
    <w:p>
      <w:pPr>
        <w:pStyle w:val="FirstParagraph"/>
      </w:pPr>
      <w:r>
        <w:t xml:space="preserve">Estilos de Integración: Communications backbone</w:t>
      </w:r>
      <w:r>
        <w:t xml:space="preserve"> </w:t>
      </w:r>
      <w:r>
        <w:rPr>
          <w:rStyle w:val="FootnoteReference"/>
        </w:rPr>
        <w:footnoteReference w:id="57"/>
      </w:r>
      <w:r>
        <w:t xml:space="preserve">. Patrón principal: Messaging — Cada aplicación (app) conectada a un mismo sistema de mensajería, intercambio de datos y operación entre aplicaciones mediante mensajes.</w:t>
      </w:r>
    </w:p>
    <w:bookmarkEnd w:id="58"/>
    <w:bookmarkStart w:id="59" w:name="herramientas"/>
    <w:p>
      <w:pPr>
        <w:pStyle w:val="Heading3"/>
      </w:pPr>
      <w:r>
        <w:t xml:space="preserve">Herramientas</w:t>
      </w:r>
    </w:p>
    <w:bookmarkEnd w:id="59"/>
    <w:bookmarkEnd w:id="60"/>
    <w:bookmarkEnd w:id="61"/>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2024-10-10T18:30:11Z</dcterms:created>
  <dcterms:modified xsi:type="dcterms:W3CDTF">2024-10-10T18:30:11Z</dcterms:modified>
</cp:coreProperties>
</file>

<file path=docProps/custom.xml><?xml version="1.0" encoding="utf-8"?>
<Properties xmlns="http://schemas.openxmlformats.org/officeDocument/2006/custom-properties" xmlns:vt="http://schemas.openxmlformats.org/officeDocument/2006/docPropsVTypes"/>
</file>