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Implementación</w:t>
      </w:r>
      <w:r>
        <w:t xml:space="preserve"> </w:t>
      </w:r>
      <w:r>
        <w:t xml:space="preserve">Proyecto</w:t>
      </w:r>
      <w:r>
        <w:t xml:space="preserve"> </w:t>
      </w:r>
      <w:r>
        <w:t xml:space="preserve">Evolución</w:t>
      </w:r>
      <w:r>
        <w:t xml:space="preserve"> </w:t>
      </w:r>
      <w:r>
        <w:t xml:space="preserve">de</w:t>
      </w:r>
      <w:r>
        <w:t xml:space="preserve"> </w:t>
      </w:r>
      <w:r>
        <w:t xml:space="preserve">Interoperabilidad</w:t>
      </w:r>
      <w:r>
        <w:t xml:space="preserve"> </w:t>
      </w:r>
      <w:r>
        <w:t xml:space="preserve">JEP,</w:t>
      </w:r>
      <w:r>
        <w:t xml:space="preserve"> </w:t>
      </w:r>
      <w:r>
        <w:t xml:space="preserve">Softgic</w:t>
      </w:r>
    </w:p>
    <w:p>
      <w:pPr>
        <w:pStyle w:val="Author"/>
      </w:pPr>
      <w:r>
        <w:t xml:space="preserve">Versión</w:t>
      </w:r>
      <w:r>
        <w:t xml:space="preserve"> </w:t>
      </w:r>
      <w:r>
        <w:t xml:space="preserve">actual:</w:t>
      </w:r>
      <w:r>
        <w:t xml:space="preserve"> </w:t>
      </w:r>
      <w:r>
        <w:t xml:space="preserve">1.2eaf6df</w:t>
      </w:r>
      <w:r>
        <w:t xml:space="preserve"> </w:t>
      </w:r>
      <w:r>
        <w:t xml:space="preserve">-</w:t>
      </w:r>
      <w:r>
        <w:t xml:space="preserve"> </w:t>
      </w:r>
      <w:r>
        <w:t xml:space="preserve">Compilación</w:t>
      </w:r>
      <w:r>
        <w:t xml:space="preserve"> </w:t>
      </w:r>
      <w:r>
        <w:t xml:space="preserve">para</w:t>
      </w:r>
      <w:r>
        <w:t xml:space="preserve"> </w:t>
      </w:r>
      <w:r>
        <w:t xml:space="preserve">entrega</w:t>
      </w:r>
      <w:r>
        <w:t xml:space="preserve"> </w:t>
      </w:r>
      <w:r>
        <w:t xml:space="preserve">-</w:t>
      </w:r>
      <w:r>
        <w:t xml:space="preserve"> </w:t>
      </w:r>
      <w:r>
        <w:t xml:space="preserve">Sat,</w:t>
      </w:r>
      <w:r>
        <w:t xml:space="preserve"> </w:t>
      </w:r>
      <w:r>
        <w:t xml:space="preserve">7</w:t>
      </w:r>
      <w:r>
        <w:t xml:space="preserve"> </w:t>
      </w:r>
      <w:r>
        <w:t xml:space="preserve">Dec</w:t>
      </w:r>
      <w:r>
        <w:t xml:space="preserve"> </w:t>
      </w:r>
      <w:r>
        <w:t xml:space="preserve">2024</w:t>
      </w:r>
      <w:r>
        <w:t xml:space="preserve"> </w:t>
      </w:r>
      <w:r>
        <w:t xml:space="preserve">18:33:53</w:t>
      </w:r>
      <w:r>
        <w:t xml:space="preserve"> </w:t>
      </w:r>
      <w:r>
        <w:t xml:space="preserve">+0000</w:t>
      </w:r>
    </w:p>
    <w:p>
      <w:pPr>
        <w:pStyle w:val="Date"/>
      </w:pPr>
      <w:r>
        <w:t xml:space="preserve">2024-11-8</w:t>
      </w:r>
    </w:p>
    <w:bookmarkStart w:id="50" w:name="X06e72eeef7127f722921f2a539cedee0d904ed2"/>
    <w:p>
      <w:pPr>
        <w:pStyle w:val="Heading1"/>
      </w:pPr>
      <w:r>
        <w:t xml:space="preserve">Especificación CU Requerimiento REQR17</w:t>
      </w:r>
    </w:p>
    <w:p>
      <w:pPr>
        <w:numPr>
          <w:ilvl w:val="0"/>
          <w:numId w:val="1001"/>
        </w:numPr>
        <w:pStyle w:val="Compact"/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numPr>
          <w:ilvl w:val="0"/>
          <w:numId w:val="1001"/>
        </w:numPr>
        <w:pStyle w:val="Compact"/>
      </w:pPr>
      <w:hyperlink w:anchor="Xeeda52ccc8c77930d0578ba46ea697f7e0f82ac">
        <w:r>
          <w:rPr>
            <w:rStyle w:val="Hyperlink"/>
          </w:rPr>
          <w:t xml:space="preserve">REQR17. Integración Conti - Comparecientes (Requirement)</w:t>
        </w:r>
      </w:hyperlink>
    </w:p>
    <w:p>
      <w:pPr>
        <w:numPr>
          <w:ilvl w:val="1"/>
          <w:numId w:val="1002"/>
        </w:numPr>
        <w:pStyle w:val="Compact"/>
      </w:pPr>
      <w:hyperlink w:anchor="Xd242ab8422dab1594e6109172b80191b0c89d69">
        <w:r>
          <w:rPr>
            <w:rStyle w:val="Hyperlink"/>
          </w:rPr>
          <w:t xml:space="preserve">HU.SINT80. Integración getToken (Deliverable)</w:t>
        </w:r>
      </w:hyperlink>
    </w:p>
    <w:p>
      <w:pPr>
        <w:numPr>
          <w:ilvl w:val="2"/>
          <w:numId w:val="1003"/>
        </w:numPr>
        <w:pStyle w:val="Compact"/>
      </w:pPr>
      <w:hyperlink w:anchor="Xb2bd21a5d286d2219f138a066340817c9552f69">
        <w:r>
          <w:rPr>
            <w:rStyle w:val="Hyperlink"/>
          </w:rPr>
          <w:t xml:space="preserve">Especificación de integración (Deliverable)</w:t>
        </w:r>
      </w:hyperlink>
    </w:p>
    <w:p>
      <w:pPr>
        <w:numPr>
          <w:ilvl w:val="1"/>
          <w:numId w:val="1002"/>
        </w:numPr>
        <w:pStyle w:val="Compact"/>
      </w:pPr>
      <w:hyperlink w:anchor="X07c2d498e56d3bf0f56e8127b62c357abeba65d">
        <w:r>
          <w:rPr>
            <w:rStyle w:val="Hyperlink"/>
          </w:rPr>
          <w:t xml:space="preserve">HU.SINT81. Integración Consulta radicado (Deliverable)</w:t>
        </w:r>
      </w:hyperlink>
    </w:p>
    <w:p>
      <w:pPr>
        <w:numPr>
          <w:ilvl w:val="2"/>
          <w:numId w:val="1004"/>
        </w:numPr>
        <w:pStyle w:val="Compact"/>
      </w:pPr>
      <w:hyperlink w:anchor="Xdd6d78eb75dba33a6de7c7f1a0e63d8a1adb895">
        <w:r>
          <w:rPr>
            <w:rStyle w:val="Hyperlink"/>
          </w:rPr>
          <w:t xml:space="preserve">Especificación de integración (Deliverable) 2</w:t>
        </w:r>
      </w:hyperlink>
    </w:p>
    <w:p>
      <w:pPr>
        <w:numPr>
          <w:ilvl w:val="1"/>
          <w:numId w:val="1002"/>
        </w:numPr>
        <w:pStyle w:val="Compact"/>
      </w:pPr>
      <w:hyperlink w:anchor="Xba37f4c09c5a06a61e178bbb6a983cef6ad0f2a">
        <w:r>
          <w:rPr>
            <w:rStyle w:val="Hyperlink"/>
          </w:rPr>
          <w:t xml:space="preserve">HU.SINT82. Integración Consulta acta (Deliverable)</w:t>
        </w:r>
      </w:hyperlink>
    </w:p>
    <w:p>
      <w:pPr>
        <w:numPr>
          <w:ilvl w:val="2"/>
          <w:numId w:val="1005"/>
        </w:numPr>
        <w:pStyle w:val="Compact"/>
      </w:pPr>
      <w:hyperlink w:anchor="X6c74448937bbf5f09b31c69b958bc78328a90e5">
        <w:r>
          <w:rPr>
            <w:rStyle w:val="Hyperlink"/>
          </w:rPr>
          <w:t xml:space="preserve">Especificación de integración (Deliverable) 3</w:t>
        </w:r>
      </w:hyperlink>
    </w:p>
    <w:bookmarkStart w:id="23" w:name="sec:introducción"/>
    <w:p>
      <w:pPr>
        <w:pStyle w:val="Heading2"/>
      </w:pPr>
      <w:r>
        <w:t xml:space="preserve">Introducción</w:t>
      </w:r>
    </w:p>
    <w:p>
      <w:pPr>
        <w:pStyle w:val="CaptionedFigure"/>
      </w:pPr>
      <w:r>
        <w:drawing>
          <wp:inline>
            <wp:extent cx="4411743" cy="4762500"/>
            <wp:effectExtent b="0" l="0" r="0" t="0"/>
            <wp:docPr descr="05.REQR.2n.6n. Casos de Uso REQR17" title="" id="21" name="Picture"/>
            <a:graphic>
              <a:graphicData uri="http://schemas.openxmlformats.org/drawingml/2006/picture">
                <pic:pic>
                  <pic:nvPicPr>
                    <pic:cNvPr descr="03.cu.reqr1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43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05.REQR.2n.6n. Casos de Uso REQR17</w:t>
      </w:r>
    </w:p>
    <w:p>
      <w:pPr>
        <w:pStyle w:val="BodyText"/>
      </w:pPr>
      <w:r>
        <w:t xml:space="preserve">Documentación de los casos de uso de integración del proyecto JEP relacionados con los requerimientos. COndiciones de interoperabilidad, pruebas técnicas y entregables.</w:t>
      </w:r>
    </w:p>
    <w:p>
      <w:pPr>
        <w:pStyle w:val="BodyText"/>
      </w:pPr>
      <w:r>
        <w:t xml:space="preserve">Fuente: Acta de requerimientos Integración Plani - Proceso Precontractual_V4.pdf</w:t>
      </w:r>
    </w:p>
    <w:bookmarkEnd w:id="23"/>
    <w:bookmarkStart w:id="49" w:name="Xa08f92d53b5f99794d252f61d8776ca70d1e0db"/>
    <w:p>
      <w:pPr>
        <w:pStyle w:val="Heading2"/>
      </w:pPr>
      <w:r>
        <w:t xml:space="preserve">REQR17. Integración Conti - Comparecientes</w:t>
      </w:r>
    </w:p>
    <w:p>
      <w:pPr>
        <w:pStyle w:val="FirstParagraph"/>
      </w:pPr>
      <w:r>
        <w:t xml:space="preserve">Atendiendo la necesidad de Justicia Digital, se requiere implementar la integración con el módjlos de comparecientes de Conti, como la exposición de las capacidades de Conti.</w:t>
      </w:r>
    </w:p>
    <w:p>
      <w:pPr>
        <w:pStyle w:val="BodyText"/>
      </w:pPr>
      <w:r>
        <w:t xml:space="preserve">Fuente: serviciosOami (pdf).</w:t>
      </w:r>
    </w:p>
    <w:bookmarkStart w:id="24" w:name="X8ae3bc333c0d418fc477fe355d0aabfb3b51768"/>
    <w:p>
      <w:pPr>
        <w:pStyle w:val="Heading3"/>
      </w:pPr>
      <w:r>
        <w:t xml:space="preserve">Índice de la documentación (casos de uso)</w:t>
      </w:r>
    </w:p>
    <w:p>
      <w:pPr>
        <w:numPr>
          <w:ilvl w:val="0"/>
          <w:numId w:val="1006"/>
        </w:numPr>
        <w:pStyle w:val="Compact"/>
      </w:pPr>
      <w:r>
        <w:t xml:space="preserve">SINT80. Integrar getToken</w:t>
      </w:r>
    </w:p>
    <w:p>
      <w:pPr>
        <w:numPr>
          <w:ilvl w:val="0"/>
          <w:numId w:val="1006"/>
        </w:numPr>
        <w:pStyle w:val="Compact"/>
      </w:pPr>
      <w:r>
        <w:t xml:space="preserve">SINT81. Integrar Consulta radicado</w:t>
      </w:r>
    </w:p>
    <w:p>
      <w:pPr>
        <w:numPr>
          <w:ilvl w:val="0"/>
          <w:numId w:val="1006"/>
        </w:numPr>
        <w:pStyle w:val="Compact"/>
      </w:pPr>
      <w:r>
        <w:t xml:space="preserve">SINT82. Integrar Consulta acta</w:t>
      </w:r>
    </w:p>
    <w:p>
      <w:pPr>
        <w:pStyle w:val="FirstParagraph"/>
      </w:pPr>
      <w:r>
        <w:t xml:space="preserve">Los casos de uso se detallan en anexo más adelante.</w:t>
      </w:r>
    </w:p>
    <w:bookmarkEnd w:id="24"/>
    <w:bookmarkStart w:id="32" w:name="sec:hu.sint80.-integración-gettoken"/>
    <w:p>
      <w:pPr>
        <w:pStyle w:val="Heading3"/>
      </w:pPr>
      <w:r>
        <w:t xml:space="preserve">HU.SINT80. Integración getToken</w:t>
      </w:r>
    </w:p>
    <w:bookmarkStart w:id="25" w:name="sec:especificación-de-integración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token de autenticación para los demás servicios, getToken de Conti y devolver resultado al módulo de comparecientes.</w:t>
      </w:r>
    </w:p>
    <w:bookmarkEnd w:id="25"/>
    <w:bookmarkStart w:id="26" w:name="sec:elementos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07"/>
        </w:numPr>
        <w:pStyle w:val="Compact"/>
      </w:pPr>
      <w:r>
        <w:t xml:space="preserve">☒ App consumidora (A)</w:t>
      </w:r>
    </w:p>
    <w:p>
      <w:pPr>
        <w:numPr>
          <w:ilvl w:val="0"/>
          <w:numId w:val="1007"/>
        </w:numPr>
        <w:pStyle w:val="Compact"/>
      </w:pPr>
      <w:r>
        <w:t xml:space="preserve">☒ Mensaje</w:t>
      </w:r>
    </w:p>
    <w:p>
      <w:pPr>
        <w:numPr>
          <w:ilvl w:val="0"/>
          <w:numId w:val="1007"/>
        </w:numPr>
        <w:pStyle w:val="Compact"/>
      </w:pPr>
      <w:r>
        <w:t xml:space="preserve">☐ Canal</w:t>
      </w:r>
    </w:p>
    <w:p>
      <w:pPr>
        <w:numPr>
          <w:ilvl w:val="0"/>
          <w:numId w:val="1007"/>
        </w:numPr>
        <w:pStyle w:val="Compact"/>
      </w:pPr>
      <w:r>
        <w:t xml:space="preserve">☐ Ruteo</w:t>
      </w:r>
    </w:p>
    <w:p>
      <w:pPr>
        <w:numPr>
          <w:ilvl w:val="0"/>
          <w:numId w:val="1007"/>
        </w:numPr>
        <w:pStyle w:val="Compact"/>
      </w:pPr>
      <w:r>
        <w:t xml:space="preserve">☐ Traducción</w:t>
      </w:r>
    </w:p>
    <w:p>
      <w:pPr>
        <w:numPr>
          <w:ilvl w:val="0"/>
          <w:numId w:val="1007"/>
        </w:numPr>
        <w:pStyle w:val="Compact"/>
      </w:pPr>
      <w:r>
        <w:t xml:space="preserve">☒ App proveedora (B)</w:t>
      </w:r>
    </w:p>
    <w:p>
      <w:pPr>
        <w:numPr>
          <w:ilvl w:val="0"/>
          <w:numId w:val="1007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08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8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09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9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0"/>
        </w:numPr>
        <w:pStyle w:val="Compact"/>
      </w:pPr>
      <w:r>
        <w:t xml:space="preserve">Contenido: Código de respuesta: HTTP 500 | TXT | Numeración (entero)</w:t>
      </w:r>
    </w:p>
    <w:bookmarkEnd w:id="26"/>
    <w:bookmarkStart w:id="27" w:name="sec:diseño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27"/>
    <w:bookmarkStart w:id="28" w:name="X61ab8eda0b8a05aa2bcdbdcdf87e954bfcfd5d1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1"/>
        </w:numPr>
        <w:pStyle w:val="Compact"/>
      </w:pPr>
      <w:r>
        <w:t xml:space="preserve">Url: dominio/mercurio/apiRest/consulta/getToken</w:t>
      </w:r>
    </w:p>
    <w:p>
      <w:pPr>
        <w:numPr>
          <w:ilvl w:val="0"/>
          <w:numId w:val="1011"/>
        </w:numPr>
        <w:pStyle w:val="Compact"/>
      </w:pPr>
      <w:r>
        <w:t xml:space="preserve">Method: POST</w:t>
      </w:r>
    </w:p>
    <w:p>
      <w:pPr>
        <w:numPr>
          <w:ilvl w:val="0"/>
          <w:numId w:val="1011"/>
        </w:numPr>
        <w:pStyle w:val="Compact"/>
      </w:pPr>
      <w:r>
        <w:t xml:space="preserve">Content-Type: application/json</w:t>
      </w:r>
    </w:p>
    <w:bookmarkEnd w:id="28"/>
    <w:bookmarkStart w:id="29" w:name="sec:matriz-de-interoperabilidad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29"/>
    <w:bookmarkStart w:id="30" w:name="sec:pruebas-realizables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2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2"/>
        </w:numPr>
        <w:pStyle w:val="Compact"/>
      </w:pPr>
      <w:r>
        <w:t xml:space="preserve">PRUB2. Falla Token: la aplicación proveedora Conti no provee el token de autorización.</w:t>
      </w:r>
    </w:p>
    <w:bookmarkEnd w:id="30"/>
    <w:bookmarkStart w:id="31" w:name="sec:anexo-técnico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1"/>
    <w:bookmarkEnd w:id="32"/>
    <w:bookmarkStart w:id="40" w:name="X451612ee209c77b780f12c5277cab87d7fd585f"/>
    <w:p>
      <w:pPr>
        <w:pStyle w:val="Heading3"/>
      </w:pPr>
      <w:r>
        <w:t xml:space="preserve">HU.SINT81. Integración Consulta radicado</w:t>
      </w:r>
    </w:p>
    <w:bookmarkStart w:id="33" w:name="sec:especificación-de-integración-1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REST que retorna información asociada a los radicados que almacena Conti, consulta_radicado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33"/>
    <w:bookmarkStart w:id="34" w:name="sec:elementos-1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3"/>
        </w:numPr>
        <w:pStyle w:val="Compact"/>
      </w:pPr>
      <w:r>
        <w:t xml:space="preserve">☒ App consumidora (A)</w:t>
      </w:r>
    </w:p>
    <w:p>
      <w:pPr>
        <w:numPr>
          <w:ilvl w:val="0"/>
          <w:numId w:val="1013"/>
        </w:numPr>
        <w:pStyle w:val="Compact"/>
      </w:pPr>
      <w:r>
        <w:t xml:space="preserve">☒ Mensaje</w:t>
      </w:r>
    </w:p>
    <w:p>
      <w:pPr>
        <w:numPr>
          <w:ilvl w:val="0"/>
          <w:numId w:val="1013"/>
        </w:numPr>
        <w:pStyle w:val="Compact"/>
      </w:pPr>
      <w:r>
        <w:t xml:space="preserve">☐ Canal</w:t>
      </w:r>
    </w:p>
    <w:p>
      <w:pPr>
        <w:numPr>
          <w:ilvl w:val="0"/>
          <w:numId w:val="1013"/>
        </w:numPr>
        <w:pStyle w:val="Compact"/>
      </w:pPr>
      <w:r>
        <w:t xml:space="preserve">☐ Ruteo</w:t>
      </w:r>
    </w:p>
    <w:p>
      <w:pPr>
        <w:numPr>
          <w:ilvl w:val="0"/>
          <w:numId w:val="1013"/>
        </w:numPr>
        <w:pStyle w:val="Compact"/>
      </w:pPr>
      <w:r>
        <w:t xml:space="preserve">☐ Traducción</w:t>
      </w:r>
    </w:p>
    <w:p>
      <w:pPr>
        <w:numPr>
          <w:ilvl w:val="0"/>
          <w:numId w:val="1013"/>
        </w:numPr>
        <w:pStyle w:val="Compact"/>
      </w:pPr>
      <w:r>
        <w:t xml:space="preserve">☒ App proveedora (B)</w:t>
      </w:r>
    </w:p>
    <w:p>
      <w:pPr>
        <w:numPr>
          <w:ilvl w:val="0"/>
          <w:numId w:val="1013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14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4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15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5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6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6"/>
        </w:numPr>
        <w:pStyle w:val="Compact"/>
      </w:pPr>
      <w:r>
        <w:t xml:space="preserve">Contenido: Código de respuesta: HTTP 500 | TXT | Numeración (entero)</w:t>
      </w:r>
    </w:p>
    <w:bookmarkEnd w:id="34"/>
    <w:bookmarkStart w:id="35" w:name="sec:diseño-1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35"/>
    <w:bookmarkStart w:id="36" w:name="X5d10be7627eaf59b115f47903c435f133a453df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7"/>
        </w:numPr>
        <w:pStyle w:val="Compact"/>
      </w:pPr>
      <w:r>
        <w:t xml:space="preserve">Url: dominio/mercurio/apiRest/consulta/contenidoradicado</w:t>
      </w:r>
    </w:p>
    <w:p>
      <w:pPr>
        <w:numPr>
          <w:ilvl w:val="0"/>
          <w:numId w:val="1017"/>
        </w:numPr>
        <w:pStyle w:val="Compact"/>
      </w:pPr>
      <w:r>
        <w:t xml:space="preserve">Method: POST</w:t>
      </w:r>
    </w:p>
    <w:p>
      <w:pPr>
        <w:numPr>
          <w:ilvl w:val="0"/>
          <w:numId w:val="1017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17"/>
        </w:numPr>
        <w:pStyle w:val="Compact"/>
      </w:pPr>
      <w:r>
        <w:t xml:space="preserve">Authorization: Bearer Token</w:t>
      </w:r>
      <w:r>
        <w:t xml:space="preserve"> </w:t>
      </w:r>
    </w:p>
    <w:bookmarkEnd w:id="36"/>
    <w:bookmarkStart w:id="37" w:name="sec:matriz-de-interoperabilidad-1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37"/>
    <w:bookmarkStart w:id="38" w:name="sec:pruebas-realizables-1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8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8"/>
        </w:numPr>
        <w:pStyle w:val="Compact"/>
      </w:pPr>
      <w:r>
        <w:t xml:space="preserve">PRUB2. Falla Token: la aplicación proveedora Conti no provee el token de autorización.</w:t>
      </w:r>
    </w:p>
    <w:bookmarkEnd w:id="38"/>
    <w:bookmarkStart w:id="39" w:name="sec:anexo-técnico-1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9"/>
    <w:bookmarkEnd w:id="40"/>
    <w:bookmarkStart w:id="48" w:name="sec:hu.sint82.-integración-consulta-acta"/>
    <w:p>
      <w:pPr>
        <w:pStyle w:val="Heading3"/>
      </w:pPr>
      <w:r>
        <w:t xml:space="preserve">HU.SINT82. Integración Consulta acta</w:t>
      </w:r>
    </w:p>
    <w:bookmarkStart w:id="41" w:name="sec:especificación-de-integración-2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información asociada a las actas que almacena Conti, consulta Acta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41"/>
    <w:bookmarkStart w:id="42" w:name="sec:elementos-2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9"/>
        </w:numPr>
        <w:pStyle w:val="Compact"/>
      </w:pPr>
      <w:r>
        <w:t xml:space="preserve">☒ App consumidora (A)</w:t>
      </w:r>
    </w:p>
    <w:p>
      <w:pPr>
        <w:numPr>
          <w:ilvl w:val="0"/>
          <w:numId w:val="1019"/>
        </w:numPr>
        <w:pStyle w:val="Compact"/>
      </w:pPr>
      <w:r>
        <w:t xml:space="preserve">☒ Mensaje</w:t>
      </w:r>
    </w:p>
    <w:p>
      <w:pPr>
        <w:numPr>
          <w:ilvl w:val="0"/>
          <w:numId w:val="1019"/>
        </w:numPr>
        <w:pStyle w:val="Compact"/>
      </w:pPr>
      <w:r>
        <w:t xml:space="preserve">☐ Canal</w:t>
      </w:r>
    </w:p>
    <w:p>
      <w:pPr>
        <w:numPr>
          <w:ilvl w:val="0"/>
          <w:numId w:val="1019"/>
        </w:numPr>
        <w:pStyle w:val="Compact"/>
      </w:pPr>
      <w:r>
        <w:t xml:space="preserve">☐ Ruteo</w:t>
      </w:r>
    </w:p>
    <w:p>
      <w:pPr>
        <w:numPr>
          <w:ilvl w:val="0"/>
          <w:numId w:val="1019"/>
        </w:numPr>
        <w:pStyle w:val="Compact"/>
      </w:pPr>
      <w:r>
        <w:t xml:space="preserve">☐ Traducción</w:t>
      </w:r>
    </w:p>
    <w:p>
      <w:pPr>
        <w:numPr>
          <w:ilvl w:val="0"/>
          <w:numId w:val="1019"/>
        </w:numPr>
        <w:pStyle w:val="Compact"/>
      </w:pPr>
      <w:r>
        <w:t xml:space="preserve">☒ App proveedora (B)</w:t>
      </w:r>
    </w:p>
    <w:p>
      <w:pPr>
        <w:numPr>
          <w:ilvl w:val="0"/>
          <w:numId w:val="1019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2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0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21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1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22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2"/>
        </w:numPr>
        <w:pStyle w:val="Compact"/>
      </w:pPr>
      <w:r>
        <w:t xml:space="preserve">Contenido: Código de respuesta: HTTP 500 | TXT | Numeración (entero)</w:t>
      </w:r>
    </w:p>
    <w:bookmarkEnd w:id="42"/>
    <w:bookmarkStart w:id="43" w:name="sec:diseño-2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43"/>
    <w:bookmarkStart w:id="44" w:name="X6e2746c41af41f6b4031c80df9e6cc6c331c9f7"/>
    <w:p>
      <w:pPr>
        <w:pStyle w:val="Heading4"/>
      </w:pPr>
      <w:r>
        <w:t xml:space="preserve">Puntos de Entrada (endpoints) de Aplicación Proveedora</w:t>
      </w:r>
    </w:p>
    <w:p>
      <w:pPr>
        <w:numPr>
          <w:ilvl w:val="0"/>
          <w:numId w:val="1023"/>
        </w:numPr>
        <w:pStyle w:val="Compact"/>
      </w:pPr>
      <w:r>
        <w:t xml:space="preserve">Url: dominio/mercurio/apiRest/consulta/acta</w:t>
      </w:r>
    </w:p>
    <w:p>
      <w:pPr>
        <w:numPr>
          <w:ilvl w:val="0"/>
          <w:numId w:val="1023"/>
        </w:numPr>
        <w:pStyle w:val="Compact"/>
      </w:pPr>
      <w:r>
        <w:t xml:space="preserve">Method: POST</w:t>
      </w:r>
    </w:p>
    <w:p>
      <w:pPr>
        <w:numPr>
          <w:ilvl w:val="0"/>
          <w:numId w:val="1023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23"/>
        </w:numPr>
        <w:pStyle w:val="Compact"/>
      </w:pPr>
      <w:r>
        <w:t xml:space="preserve">Authorization: Bearer Token</w:t>
      </w:r>
      <w:r>
        <w:t xml:space="preserve"> </w:t>
      </w:r>
    </w:p>
    <w:bookmarkEnd w:id="44"/>
    <w:bookmarkStart w:id="45" w:name="sec:matriz-de-interoperabilidad-2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45"/>
    <w:bookmarkStart w:id="46" w:name="sec:pruebas-realizables-2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24"/>
        </w:numPr>
        <w:pStyle w:val="Compact"/>
      </w:pPr>
      <w:r>
        <w:t xml:space="preserve">PRUB1. Consulta acta: la aplicación consumidora solicita y recibe el acta solicitada.</w:t>
      </w:r>
    </w:p>
    <w:p>
      <w:pPr>
        <w:numPr>
          <w:ilvl w:val="0"/>
          <w:numId w:val="1024"/>
        </w:numPr>
        <w:pStyle w:val="Compact"/>
      </w:pPr>
      <w:r>
        <w:t xml:space="preserve">PRUB2. Acta no existe: la aplicación proveedora Conti no provee el acta solicitada.</w:t>
      </w:r>
    </w:p>
    <w:bookmarkEnd w:id="46"/>
    <w:bookmarkStart w:id="47" w:name="sec:anexo-técnico-2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47"/>
    <w:bookmarkEnd w:id="48"/>
    <w:bookmarkEnd w:id="49"/>
    <w:bookmarkEnd w:id="50"/>
    <w:sectPr w:rsidR="00CD4570" w:rsidSect="000F28BE">
      <w:headerReference r:id="rId9" w:type="default"/>
      <w:footerReference r:id="rId11" w:type="even"/>
      <w:footerReference r:id="rId10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94" w14:textId="66A3C8DC" w:rsidR="00B66951" w:rsidRDefault="00474794">
    <w:pPr>
      <w:pStyle w:val="Header"/>
    </w:pPr>
    <w:r w:rsidRPr="00080477">
      <w:rPr>
        <w:noProof/>
      </w:rPr>
      <w:drawing>
        <wp:anchor distT="0" distB="0" distL="114300" distR="114300" simplePos="0" relativeHeight="251659264" behindDoc="0" locked="0" layoutInCell="1" allowOverlap="1" wp14:anchorId="345D8AEC" wp14:editId="471B8051">
          <wp:simplePos x="0" y="0"/>
          <wp:positionH relativeFrom="column">
            <wp:posOffset>4058920</wp:posOffset>
          </wp:positionH>
          <wp:positionV relativeFrom="paragraph">
            <wp:posOffset>-241300</wp:posOffset>
          </wp:positionV>
          <wp:extent cx="1323431" cy="939639"/>
          <wp:effectExtent l="0" t="0" r="0" b="0"/>
          <wp:wrapNone/>
          <wp:docPr id="9724278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242788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431" cy="939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Versión actual: 1.2eaf6df - Compilación para entrega - Sat, 7 Dec 2024 18:33:53 +0000</dc:creator>
  <dc:language>en</dc:language>
  <dc:subject>Implementación Proyecto JEP</dc:subject>
  <cp:keywords>Integración, Interoperabilidad, JEP, Softgic, Caso de uso</cp:keywords>
  <dcterms:created xsi:type="dcterms:W3CDTF">2024-12-09T16:00:45Z</dcterms:created>
  <dcterms:modified xsi:type="dcterms:W3CDTF">2024-12-09T16:00:45Z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2024-11-8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>include/jeplogo.jpg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Implementación Proyecto Evolución de Interoperabilidad JEP, Softgic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