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59.png" ContentType="image/png"/>
  <Override PartName="/word/media/rId64.png" ContentType="image/png"/>
  <Override PartName="/word/media/rId70.png" ContentType="image/png"/>
  <Override PartName="/word/media/rId85.png" ContentType="image/png"/>
  <Override PartName="/word/media/rId79.png" ContentType="image/pn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Proyecto</w:t>
      </w:r>
      <w:r>
        <w:t xml:space="preserve"> </w:t>
      </w:r>
      <w:r>
        <w:t xml:space="preserve">de</w:t>
      </w:r>
      <w:r>
        <w:t xml:space="preserve"> </w:t>
      </w:r>
      <w:r>
        <w:t xml:space="preserve">Interoperabilidad</w:t>
      </w:r>
      <w:r>
        <w:t xml:space="preserve"> </w:t>
      </w:r>
      <w:r>
        <w:t xml:space="preserve">JEP,</w:t>
      </w:r>
      <w:r>
        <w:t xml:space="preserve"> </w:t>
      </w:r>
      <w:r>
        <w:t xml:space="preserve">2024</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p>
    <w:p>
      <w:pPr>
        <w:pStyle w:val="Date"/>
      </w:pPr>
      <w:r>
        <w:t xml:space="preserve">2024-09-16</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1.646863c - action - Fri, 8 Nov 2024 14:51:00 +0000</w:t>
      </w:r>
    </w:p>
    <w:p>
      <w:pPr>
        <w:pStyle w:val="BodyText"/>
      </w:pPr>
      <w:r>
        <w:t xml:space="preserve">Versiones Anteriores</w:t>
      </w:r>
    </w:p>
    <w:p>
      <w:pPr>
        <w:pStyle w:val="BodyText"/>
      </w:pPr>
      <w:r>
        <w:t xml:space="preserve">1.646863c - action - Fri, 8 Nov 2024 14:51:00 +0000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w:t>
      </w:r>
    </w:p>
    <w:p>
      <w:pPr>
        <w:pStyle w:val="FirstParagraph"/>
      </w:pPr>
    </w:p>
    <w:p>
      <w:pPr>
        <w:pStyle w:val="BodyText"/>
      </w:pPr>
      <w:r>
        <w:t xml:space="preserve">Las división de trabajo conveniente dadas las condiciones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CI/CD</w:t>
      </w:r>
      <w:r>
        <w:t xml:space="preserve">. Actividades DevOps del ciclo o iteración de implementación.</w:t>
      </w:r>
    </w:p>
    <w:p>
      <w:pPr>
        <w:numPr>
          <w:ilvl w:val="0"/>
          <w:numId w:val="1007"/>
        </w:numPr>
      </w:pPr>
      <w:r>
        <w:rPr>
          <w:bCs/>
          <w:b/>
        </w:rPr>
        <w:t xml:space="preserve">DEV</w:t>
      </w:r>
      <w:r>
        <w:t xml:space="preserve">. Alcance de QA unitaria</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UT (tarea)</w:t>
      </w:r>
      <w:r>
        <w:t xml:space="preserve">. Unidad mínima de trabajo (tarea por desarrollador).</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ANLS.Analisis integración</w:t>
            </w:r>
          </w:p>
        </w:tc>
        <w:tc>
          <w:tcPr/>
          <w:p>
            <w:pPr>
              <w:pStyle w:val="Compact"/>
              <w:jc w:val="left"/>
            </w:pPr>
            <w:r>
              <w:t xml:space="preserve">Business Process</w:t>
            </w:r>
          </w:p>
        </w:tc>
        <w:tc>
          <w:tcPr/>
          <w:p>
            <w:pPr>
              <w:pStyle w:val="Compact"/>
              <w:jc w:val="left"/>
            </w:pPr>
            <w:r>
              <w:t xml:space="preserve">### 2. ANSS (análisis).</w:t>
            </w:r>
          </w:p>
        </w:tc>
      </w:tr>
    </w:tbl>
    <w:p>
      <w:pPr>
        <w:numPr>
          <w:ilvl w:val="0"/>
          <w:numId w:val="1009"/>
        </w:numPr>
        <w:pStyle w:val="Compact"/>
      </w:pPr>
      <w:r>
        <w:t xml:space="preserve">Scrum, Funcional, Dueño producto cliente (requiere conocimiento del negocio).</w:t>
      </w:r>
    </w:p>
    <w:p>
      <w:pPr>
        <w:numPr>
          <w:ilvl w:val="0"/>
          <w:numId w:val="1009"/>
        </w:numPr>
        <w:pStyle w:val="Compact"/>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CI/CD | Work Package | Actividades DevOps del ciclo o iteración de implementación. |</w:t>
      </w:r>
      <w:r>
        <w:t xml:space="preserve"> </w:t>
      </w:r>
      <w:r>
        <w:t xml:space="preserve">| DEV | Work Package | Alcance de QA unitaria</w:t>
      </w:r>
      <w:r>
        <w:t xml:space="preserve"> </w:t>
      </w:r>
      <w:r>
        <w:t xml:space="preserve">|</w:t>
      </w:r>
      <w:r>
        <w:t xml:space="preserve"> </w:t>
      </w:r>
      <w:r>
        <w:t xml:space="preserve">| DEV | Work Package | Alcance de QA unitaria</w:t>
      </w:r>
      <w:r>
        <w:t xml:space="preserve"> </w:t>
      </w:r>
      <w:r>
        <w:t xml:space="preserve">|</w:t>
      </w:r>
      <w:r>
        <w:t xml:space="preserve"> </w:t>
      </w:r>
      <w:r>
        <w:t xml:space="preserve">| DEV.Implementación | Business Process | ### KPI</w:t>
      </w:r>
    </w:p>
    <w:p>
      <w:pPr>
        <w:numPr>
          <w:ilvl w:val="0"/>
          <w:numId w:val="1011"/>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11"/>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11"/>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UT (tarea) | Work Package | Unidad mínima de trabajo (tarea por desarrollador).</w:t>
      </w:r>
      <w:r>
        <w:t xml:space="preserve"> </w:t>
      </w:r>
      <w:r>
        <w:t xml:space="preserve">|</w:t>
      </w:r>
    </w:p>
    <w:p>
      <w:pPr>
        <w:pStyle w:val="BodyText"/>
      </w:pPr>
      <w:r>
        <w:t xml:space="preserve">Table: Elementos de la vista. {#tbl:tblelement-04.ING.2n.1b.Modeloproducción-id}</w:t>
      </w:r>
    </w:p>
    <w:p>
      <w:pPr>
        <w:pStyle w:val="BodyText"/>
      </w:pPr>
    </w:p>
    <w:bookmarkEnd w:id="49"/>
    <w:bookmarkEnd w:id="50"/>
    <w:bookmarkEnd w:id="51"/>
    <w:bookmarkStart w:id="69"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8"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Alcance Proyecto Integración</w:t>
            </w:r>
          </w:p>
        </w:tc>
        <w:tc>
          <w:tcPr/>
          <w:p>
            <w:pPr>
              <w:pStyle w:val="Compact"/>
              <w:jc w:val="left"/>
            </w:pPr>
            <w:r>
              <w:t xml:space="preserve">Goal</w:t>
            </w:r>
          </w:p>
        </w:tc>
        <w:tc>
          <w:tcPr/>
          <w:p>
            <w:pPr>
              <w:pStyle w:val="Compact"/>
              <w:jc w:val="left"/>
            </w:pPr>
            <w:r>
              <w:t xml:space="preserve">Es del alcance del proyecto</w:t>
            </w:r>
          </w:p>
        </w:tc>
      </w:tr>
    </w:tbl>
    <w:p>
      <w:pPr>
        <w:numPr>
          <w:ilvl w:val="0"/>
          <w:numId w:val="1013"/>
        </w:numPr>
        <w:pStyle w:val="Compact"/>
      </w:pPr>
      <w:r>
        <w:t xml:space="preserve">Implementación de 20 o más servicios de integración al 31 de diciembre del 2024.</w:t>
      </w:r>
    </w:p>
    <w:p>
      <w:pPr>
        <w:numPr>
          <w:ilvl w:val="0"/>
          <w:numId w:val="1013"/>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t xml:space="preserve">|</w:t>
      </w:r>
      <w:r>
        <w:t xml:space="preserve"> </w:t>
      </w:r>
      <w:r>
        <w:t xml:space="preserve">| Ambientes y Herramientas | Capability | Esta solución de interoperabilidad usa las herramientas, librerías, ambientes, infraestructura productivo y no productivos (nodos, redes, almacenamientos, y otros) indicados por la JEP.</w:t>
      </w:r>
      <w:r>
        <w:t xml:space="preserve"> </w:t>
      </w:r>
      <w:r>
        <w:t xml:space="preserve">|</w:t>
      </w:r>
      <w:r>
        <w:t xml:space="preserve"> </w:t>
      </w:r>
      <w:r>
        <w:t xml:space="preserve">| Composición de Servicios | Capability | 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r>
        <w:t xml:space="preserve"> </w:t>
      </w:r>
      <w:r>
        <w:t xml:space="preserve">|</w:t>
      </w:r>
      <w:r>
        <w:t xml:space="preserve"> </w:t>
      </w:r>
      <w:r>
        <w:t xml:space="preserve">| Condiciones generales del proyecto | Constraint | Son condiciones generales de la solución aquellas que inciden en la gestión del proyecto, entrega de productos contractuales y el desarrollo del software de integración, las siguientes:</w:t>
      </w:r>
    </w:p>
    <w:p>
      <w:pPr>
        <w:numPr>
          <w:ilvl w:val="0"/>
          <w:numId w:val="1014"/>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4"/>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4"/>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4"/>
        </w:numPr>
        <w:pStyle w:val="Compact"/>
      </w:pPr>
      <w:r>
        <w:t xml:space="preserve">Para efectos de mantener la continuidad de las entregas, sin perjudicar ni a la calidad, ni a la aceptación de esta solución de integración, aquellas capacidades de las aplicaciones de software de la JEP que generen depedencias o que no estén disponibles al momento del desarrollo de los servicios de integración de esta solución serán provitas por Softgic y funcionarán como sustitutas equivalentes.</w:t>
      </w:r>
    </w:p>
    <w:p>
      <w:pPr>
        <w:pStyle w:val="FirstParagraph"/>
      </w:pPr>
      <w:r>
        <w:t xml:space="preserve">Estas condiciones generales deben ser observadas e informadas a todas las partes.</w:t>
      </w:r>
      <w:r>
        <w:t xml:space="preserve"> </w:t>
      </w:r>
      <w:r>
        <w:t xml:space="preserve">|</w:t>
      </w:r>
      <w:r>
        <w:t xml:space="preserve"> </w:t>
      </w:r>
      <w:r>
        <w:t xml:space="preserve">| Condiciones técnicas de la Integración | Capability | * Uso de infraestructura, almacenamiento y cómputo de la JEP: Openshift Platform, bus empresarial, seguridad de la empresa, tecnoglogía de clusters y contenedores, y Prometheus como la herramienta de monitoreo de servicios.</w:t>
      </w:r>
    </w:p>
    <w:p>
      <w:pPr>
        <w:numPr>
          <w:ilvl w:val="0"/>
          <w:numId w:val="1015"/>
        </w:numPr>
      </w:pPr>
      <w:r>
        <w:t xml:space="preserve">Monitoreo de uso de los recursos de procesamiento, red y memoria de los componentes claves de la solución haciendo uso de ServiceMesh.</w:t>
      </w:r>
    </w:p>
    <w:p>
      <w:pPr>
        <w:numPr>
          <w:ilvl w:val="0"/>
          <w:numId w:val="1015"/>
        </w:numPr>
      </w:pPr>
      <w:r>
        <w:t xml:space="preserve">La solución soporta la habilitación de reglas de alertas sobre los registros de actividad y monitoreo.</w:t>
      </w:r>
    </w:p>
    <w:p>
      <w:pPr>
        <w:numPr>
          <w:ilvl w:val="0"/>
          <w:numId w:val="1015"/>
        </w:numPr>
      </w:pPr>
      <w:r>
        <w:t xml:space="preserve">Soluciones de EFK (Elasticsearch, FluentD, Kibana - ELKstack), a través de operadores para centralizar el proceso de logs que se generan en difrerentes espacios de trabajo.</w:t>
      </w:r>
    </w:p>
    <w:p>
      <w:pPr>
        <w:pStyle w:val="FirstParagraph"/>
      </w:pPr>
      <w:r>
        <w:t xml:space="preserve">Estas condiciones técnicas y tecnológicas deben ser observadas e informadas a todas las partes.</w:t>
      </w:r>
      <w:r>
        <w:t xml:space="preserve"> </w:t>
      </w:r>
      <w:r>
        <w:t xml:space="preserve">|</w:t>
      </w:r>
      <w:r>
        <w:t xml:space="preserve"> </w:t>
      </w:r>
      <w:r>
        <w:t xml:space="preserve">| Conectividad API | Capability | Esta solución de interoperabilidad usa conectividad API REST provista por la infraestructura de conectividad de la JEP (Apache Camel).</w:t>
      </w:r>
      <w:r>
        <w:t xml:space="preserve"> </w:t>
      </w:r>
      <w:r>
        <w:t xml:space="preserve">|</w:t>
      </w:r>
      <w:r>
        <w:t xml:space="preserve"> </w:t>
      </w:r>
      <w:r>
        <w:t xml:space="preserve">| ENTG01. Solución de Integración JEP | Application Component | Documentación técnica del diseño de solución de la integración JEP, 2024.</w:t>
      </w:r>
      <w:r>
        <w:t xml:space="preserve"> </w:t>
      </w:r>
      <w:r>
        <w:t xml:space="preserve">|</w:t>
      </w:r>
      <w:r>
        <w:t xml:space="preserve"> </w:t>
      </w:r>
      <w:r>
        <w:t xml:space="preserve">| ENTG02. Servicios de Integración JEP | Application Service | Servicios ejecutables desplegados en los entornos de software JEP.</w:t>
      </w:r>
      <w:r>
        <w:t xml:space="preserve"> </w:t>
      </w:r>
      <w:r>
        <w:t xml:space="preserve">|</w:t>
      </w:r>
      <w:r>
        <w:t xml:space="preserve"> </w:t>
      </w:r>
      <w:r>
        <w:t xml:space="preserve">| ENTG03. CI/CD Integración JEP | Technology Service | Cadenas de integración y despliegue continuo de los servicios de integración del proyecto de integración JEP, 2024.</w:t>
      </w:r>
      <w:r>
        <w:t xml:space="preserve"> </w:t>
      </w:r>
      <w:r>
        <w:t xml:space="preserve">|</w:t>
      </w:r>
      <w:r>
        <w:t xml:space="preserve"> </w:t>
      </w:r>
      <w:r>
        <w:t xml:space="preserve">| ENTG04. Nodo Integración JEP | Node | Cluster de ejecución de los nodos y procesos de (servicios) de integración del proyecto. |</w:t>
      </w:r>
      <w:r>
        <w:t xml:space="preserve"> </w:t>
      </w:r>
      <w:r>
        <w:t xml:space="preserve">| ENTG05. Proceso (worker) | Application Process | Configuración de servicios de integración del proyecto dentro de la infraestructura tecnológica JEP. |</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ENTG07 (task) | Application Service | Servicios de integración del proyecto desplegados en la infraestructura tecnológica JEP.</w:t>
      </w:r>
      <w:r>
        <w:t xml:space="preserve"> </w:t>
      </w:r>
      <w:r>
        <w:t xml:space="preserve">|</w:t>
      </w:r>
      <w:r>
        <w:t xml:space="preserve"> </w:t>
      </w:r>
      <w:r>
        <w:t xml:space="preserve">| Flujo de datos | Capability | Esta solución de interoperabilidad usa esquemas de datos predefinidos entre las integraciones.</w:t>
      </w:r>
      <w:r>
        <w:t xml:space="preserve"> </w:t>
      </w:r>
      <w:r>
        <w:t xml:space="preserve">|</w:t>
      </w:r>
      <w:r>
        <w:t xml:space="preserve"> </w:t>
      </w:r>
      <w:r>
        <w:t xml:space="preserve">| Justificación Proyecto Integración JEP | Driver | Justificación Proyecto Integración JEP | Driver | Justification: Evolución de la Plataforma de Interoperabilidad para el ano 2024</w:t>
      </w:r>
    </w:p>
    <w:p>
      <w:pPr>
        <w:numPr>
          <w:ilvl w:val="0"/>
          <w:numId w:val="1016"/>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6"/>
        </w:numPr>
        <w:pStyle w:val="Compact"/>
      </w:pPr>
      <w:r>
        <w:t xml:space="preserve">Interoperabilidad con las entidades externas que demandan información de la JEP</w:t>
      </w:r>
    </w:p>
    <w:p>
      <w:pPr>
        <w:numPr>
          <w:ilvl w:val="0"/>
          <w:numId w:val="1016"/>
        </w:numPr>
        <w:pStyle w:val="Compact"/>
      </w:pPr>
      <w:r>
        <w:t xml:space="preserve">Evolución del modelo de interoperabilidad interna y gobierno de data maestra entre sistemas internos</w:t>
      </w:r>
      <w:r>
        <w:t xml:space="preserve"> </w:t>
      </w:r>
      <w:r>
        <w:t xml:space="preserve">|</w:t>
      </w:r>
      <w:r>
        <w:t xml:space="preserve"> </w:t>
      </w:r>
      <w:r>
        <w:t xml:space="preserve">| Modelo de Seguridad | Capability | Autenticación mixta: JWS y tradicional (usuario, contraseña).</w:t>
      </w:r>
      <w:r>
        <w:t xml:space="preserve"> </w:t>
      </w:r>
      <w:r>
        <w:t xml:space="preserve">|</w:t>
      </w:r>
      <w:r>
        <w:t xml:space="preserve"> </w:t>
      </w:r>
      <w:r>
        <w:t xml:space="preserve">| Objeto Contractual Proyecto JEP | Principle | Prestar los servicios de administración y monitoreo de la solución de interoperabilidad de los sistemas de información de la JEP; así como la implementación de nuevos desarrollos o parametrizaciones que esta solución requiera. |</w:t>
      </w:r>
      <w:r>
        <w:t xml:space="preserve"> </w:t>
      </w:r>
      <w:r>
        <w:t xml:space="preserve">| Patrón de Integración (EIP) | Capability | Pasar de modelo integración EIA (intgración directa ente consumidores y proveedores) a modelo de integración EIP (integración empresarial/bus) sobre Red Hat Integration Platform.</w:t>
      </w:r>
    </w:p>
    <w:p>
      <w:pPr>
        <w:pStyle w:val="FirstParagraph"/>
      </w:pPr>
      <w:r>
        <w:t xml:space="preserve">|</w:t>
      </w:r>
      <w:r>
        <w:t xml:space="preserve"> </w:t>
      </w:r>
      <w:r>
        <w:t xml:space="preserve">| Plano de Administración | Capability | Monitoreo de rendimiento de ssvc de integración.</w:t>
      </w:r>
      <w:r>
        <w:t xml:space="preserve"> </w:t>
      </w:r>
      <w:r>
        <w:t xml:space="preserve">|</w:t>
      </w:r>
      <w:r>
        <w:t xml:space="preserve"> </w:t>
      </w:r>
      <w:r>
        <w:t xml:space="preserve">| Requerimientos integración JEP | Requirement | Del alcance del proyecto,</w:t>
      </w:r>
    </w:p>
    <w:p>
      <w:pPr>
        <w:numPr>
          <w:ilvl w:val="0"/>
          <w:numId w:val="1017"/>
        </w:numPr>
        <w:pStyle w:val="Compact"/>
      </w:pPr>
      <w:r>
        <w:t xml:space="preserve">Implementación de 20 o más servicios de integración al 31 de diciembre del 2024.</w:t>
      </w:r>
    </w:p>
    <w:p>
      <w:pPr>
        <w:numPr>
          <w:ilvl w:val="0"/>
          <w:numId w:val="1017"/>
        </w:numPr>
        <w:pStyle w:val="Compact"/>
      </w:pPr>
      <w:r>
        <w:t xml:space="preserve">Soporte solución de integración a julio 2025.</w:t>
      </w:r>
    </w:p>
    <w:p>
      <w:pPr>
        <w:pStyle w:val="FirstParagraph"/>
      </w:pPr>
      <w:r>
        <w:t xml:space="preserve">Establecemos las bases para el modelo de requerimientos de esta solución, el cual limita la demana a:</w:t>
      </w:r>
    </w:p>
    <w:p>
      <w:pPr>
        <w:numPr>
          <w:ilvl w:val="0"/>
          <w:numId w:val="1018"/>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8"/>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8"/>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r>
        <w:t xml:space="preserve"> </w:t>
      </w:r>
      <w:r>
        <w:t xml:space="preserve">|</w:t>
      </w:r>
      <w:r>
        <w:t xml:space="preserve"> </w:t>
      </w:r>
      <w:r>
        <w:t xml:space="preserve">| Sistema de Mensajes | Capability | Esta solución de interoperabilidad usa un sistema de mensajes (comandos). Los mensajes son de tipo petición, respuesta o excepción.</w:t>
      </w:r>
    </w:p>
    <w:p>
      <w:pPr>
        <w:pStyle w:val="FirstParagraph"/>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r>
        <w:t xml:space="preserve"> </w:t>
      </w:r>
      <w:r>
        <w:t xml:space="preserve">|</w:t>
      </w:r>
      <w:r>
        <w:t xml:space="preserve"> </w:t>
      </w:r>
      <w:r>
        <w:t xml:space="preserve">| Solución de Integración | Capability | 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t xml:space="preserve">Table: Elementos de la vista. {#tbl:tblelement-04.ING.3n.1.ModelodeInteroperabilidadJEP-id}</w:t>
      </w:r>
    </w:p>
    <w:p>
      <w:pPr>
        <w:pStyle w:val="BodyText"/>
      </w:pPr>
    </w:p>
    <w:bookmarkEnd w:id="57"/>
    <w:bookmarkEnd w:id="58"/>
    <w:bookmarkStart w:id="63"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0" name="Picture"/>
            <a:graphic>
              <a:graphicData uri="http://schemas.openxmlformats.org/drawingml/2006/picture">
                <pic:pic>
                  <pic:nvPicPr>
                    <pic:cNvPr descr="images/04.ING.3n.2.AmbientesyHerramientasJEP.png" id="61" name="Picture"/>
                    <pic:cNvPicPr>
                      <a:picLocks noChangeArrowheads="1" noChangeAspect="1"/>
                    </pic:cNvPicPr>
                  </pic:nvPicPr>
                  <pic:blipFill>
                    <a:blip r:embed="rId59"/>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2" w:name="sec:catálogo-de-elementos-4"/>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{#tbl:tblelement-04.ING.3n.2.AmbientesyHerramientasJEP-id}</w:t>
      </w:r>
    </w:p>
    <w:p>
      <w:pPr>
        <w:pStyle w:val="BodyText"/>
      </w:pPr>
    </w:p>
    <w:bookmarkEnd w:id="62"/>
    <w:bookmarkEnd w:id="63"/>
    <w:bookmarkStart w:id="68"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5" name="Picture"/>
            <a:graphic>
              <a:graphicData uri="http://schemas.openxmlformats.org/drawingml/2006/picture">
                <pic:pic>
                  <pic:nvPicPr>
                    <pic:cNvPr descr="images/04.ING.3n.3.SistemadeMensajeríaIntegraciónJEP.png" id="66" name="Picture"/>
                    <pic:cNvPicPr>
                      <a:picLocks noChangeArrowheads="1" noChangeAspect="1"/>
                    </pic:cNvPicPr>
                  </pic:nvPicPr>
                  <pic:blipFill>
                    <a:blip r:embed="rId64"/>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67" w:name="sec:catálogo-de-elementos-5"/>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pPr>
          </w:p>
        </w:tc>
        <w:tc>
          <w:tcPr/>
          <w:p>
            <w:pPr>
              <w:pStyle w:val="Compact"/>
            </w:pPr>
          </w:p>
        </w:tc>
        <w:tc>
          <w:tcPr/>
          <w:p>
            <w:pPr>
              <w:pStyle w:val="Compact"/>
            </w:pP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Proveedor | Application Component | Aplicación o servicio proveedor. Emite mensajes de respuesta al consumidor de datos o comandos.</w:t>
      </w:r>
      <w:r>
        <w:t xml:space="preserve"> </w:t>
      </w: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{#tbl:tblelement-04.ING.3n.3.SistemadeMensajeríaIntegraciónJEP-id}</w:t>
      </w:r>
    </w:p>
    <w:p>
      <w:pPr>
        <w:pStyle w:val="BodyText"/>
      </w:pPr>
    </w:p>
    <w:bookmarkEnd w:id="67"/>
    <w:bookmarkEnd w:id="68"/>
    <w:bookmarkEnd w:id="69"/>
    <w:bookmarkStart w:id="78" w:name="X9eaf8f9e5aaaec9efd1b932dd65c6a451e58315"/>
    <w:p>
      <w:pPr>
        <w:pStyle w:val="Heading1"/>
      </w:pPr>
      <w:r>
        <w:t xml:space="preserve">Modelo de Requerimientos de Interoperabilidad Proyecto JEP</w:t>
      </w:r>
    </w:p>
    <w:bookmarkStart w:id="77"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0.1.43</w:t>
      </w:r>
    </w:p>
    <w:p>
      <w:pPr>
        <w:pStyle w:val="FirstParagraph"/>
      </w:pPr>
    </w:p>
    <w:p>
      <w:pPr>
        <w:pStyle w:val="BodyText"/>
      </w:pP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 Documento: Justificativo de la Contratación Invitación Pública</w:t>
      </w:r>
    </w:p>
    <w:p>
      <w:pPr>
        <w:pStyle w:val="CaptionedFigure"/>
      </w:pPr>
      <w:r>
        <w:drawing>
          <wp:inline>
            <wp:extent cx="2749604" cy="4762500"/>
            <wp:effectExtent b="0" l="0" r="0" t="0"/>
            <wp:docPr descr="05.REQR.1n. Requerimientos Servicios de Integración. Fuente: Repositorio arquitectura Integración JEP (2024)" title="" id="71" name="Picture"/>
            <a:graphic>
              <a:graphicData uri="http://schemas.openxmlformats.org/drawingml/2006/picture">
                <pic:pic>
                  <pic:nvPicPr>
                    <pic:cNvPr descr="images/05.REQR.1n.RequerimientosServiciosdeIntegración.png" id="72" name="Picture"/>
                    <pic:cNvPicPr>
                      <a:picLocks noChangeArrowheads="1" noChangeAspect="1"/>
                    </pic:cNvPicPr>
                  </pic:nvPicPr>
                  <pic:blipFill>
                    <a:blip r:embed="rId70"/>
                    <a:stretch>
                      <a:fillRect/>
                    </a:stretch>
                  </pic:blipFill>
                  <pic:spPr bwMode="auto">
                    <a:xfrm>
                      <a:off x="0" y="0"/>
                      <a:ext cx="2749604" cy="4762500"/>
                    </a:xfrm>
                    <a:prstGeom prst="rect">
                      <a:avLst/>
                    </a:prstGeom>
                    <a:noFill/>
                    <a:ln w="9525">
                      <a:noFill/>
                      <a:headEnd/>
                      <a:tailEnd/>
                    </a:ln>
                  </pic:spPr>
                </pic:pic>
              </a:graphicData>
            </a:graphic>
          </wp:inline>
        </w:drawing>
      </w:r>
    </w:p>
    <w:p>
      <w:pPr>
        <w:pStyle w:val="ImageCaption"/>
      </w:pPr>
      <w:r>
        <w:t xml:space="preserve">Figura 7: 05.REQR.1n. Requerimientos Servicios de Integración.</w:t>
      </w:r>
      <w:r>
        <w:t xml:space="preserve"> </w:t>
      </w:r>
      <w:r>
        <w:rPr>
          <w:iCs/>
          <w:i/>
        </w:rPr>
        <w:t xml:space="preserve">Fuente: Repositorio arquitectura Integración JEP (2024)</w:t>
      </w:r>
    </w:p>
    <w:bookmarkStart w:id="73" w:name="sec:catálogo-de-elementos-6"/>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REQR11. Integración gestión médica</w:t>
            </w:r>
          </w:p>
        </w:tc>
        <w:tc>
          <w:tcPr/>
          <w:p>
            <w:pPr>
              <w:pStyle w:val="Compact"/>
              <w:jc w:val="left"/>
            </w:pPr>
            <w:r>
              <w:t xml:space="preserve">Requirement</w:t>
            </w:r>
          </w:p>
        </w:tc>
        <w:tc>
          <w:tcPr/>
          <w:p>
            <w:pPr>
              <w:pStyle w:val="Compact"/>
              <w:jc w:val="left"/>
            </w:pPr>
            <w:r>
              <w:t xml:space="preserve">Documentación del requerimiento de integración de la gestión médica JEP. Exposición de las capacidades Radicar MP y Indexar Imagen.</w:t>
            </w:r>
          </w:p>
        </w:tc>
      </w:tr>
    </w:tbl>
    <w:p>
      <w:pPr>
        <w:pStyle w:val="BodyText"/>
      </w:pPr>
      <w:r>
        <w:t xml:space="preserve">Fuente: gestionMedidaProteccion (pdf).</w:t>
      </w:r>
    </w:p>
    <w:bookmarkEnd w:id="73"/>
    <w:bookmarkStart w:id="74" w:name="X8ae3bc333c0d418fc477fe355d0aabfb3b51768"/>
    <w:p>
      <w:pPr>
        <w:pStyle w:val="Heading3"/>
      </w:pPr>
      <w:r>
        <w:t xml:space="preserve">Índice de la documentación (casos de uso)</w:t>
      </w:r>
    </w:p>
    <w:p>
      <w:pPr>
        <w:numPr>
          <w:ilvl w:val="0"/>
          <w:numId w:val="1019"/>
        </w:numPr>
        <w:pStyle w:val="Compact"/>
      </w:pPr>
      <w:r>
        <w:t xml:space="preserve">Caso de Uso 1. Integrar Radicar MP</w:t>
      </w:r>
    </w:p>
    <w:p>
      <w:pPr>
        <w:numPr>
          <w:ilvl w:val="0"/>
          <w:numId w:val="1019"/>
        </w:numPr>
        <w:pStyle w:val="Compact"/>
      </w:pPr>
      <w:r>
        <w:t xml:space="preserve">Caso de Uso 2. Integrar Indexar Imagen</w:t>
      </w:r>
    </w:p>
    <w:p>
      <w:pPr>
        <w:pStyle w:val="FirstParagraph"/>
      </w:pPr>
      <w:r>
        <w:t xml:space="preserve">|</w:t>
      </w:r>
      <w:r>
        <w:t xml:space="preserve"> </w:t>
      </w:r>
      <w:r>
        <w:t xml:space="preserve">| API en contenedores | Technology Service | 1. La solución de administración de API debe admitir la instalación de API Gateways en contenedores tanto dentro de una plataforma Kubernetes o utilizando en motor de contenedor aprobado por la especificación OCI.</w:t>
      </w:r>
      <w:r>
        <w:t xml:space="preserve"> </w:t>
      </w:r>
      <w:r>
        <w:t xml:space="preserve">|</w:t>
      </w:r>
      <w:r>
        <w:t xml:space="preserve"> </w:t>
      </w:r>
      <w:r>
        <w:t xml:space="preserve">| Aplicación de políticas API | Technology Service | 1. La herramienta API Gateway debe controlar la ejecución de llamadas, recopilar métricas, aplicar políticas y límites de ejecución;</w:t>
      </w:r>
      <w:r>
        <w:t xml:space="preserve"> </w:t>
      </w:r>
      <w:r>
        <w:t xml:space="preserve">|</w:t>
      </w:r>
      <w:r>
        <w:t xml:space="preserve"> </w:t>
      </w:r>
      <w:r>
        <w:t xml:space="preserve">| Apoyar la gestión médica | Value | Valor: el requerimientos genera entregables de valor para la gestión médica de JEP.</w:t>
      </w:r>
      <w:r>
        <w:t xml:space="preserve"> </w:t>
      </w:r>
      <w:r>
        <w:t xml:space="preserve">|</w:t>
      </w:r>
      <w:r>
        <w:t xml:space="preserve"> </w:t>
      </w:r>
      <w:r>
        <w:t xml:space="preserve">| Comunicación Legali x Conti | Value | Valor: el requerimientos genera entregables de valor para la integración de aplicaciones de JEP. |</w:t>
      </w:r>
      <w:r>
        <w:t xml:space="preserve"> </w:t>
      </w:r>
      <w:r>
        <w:t xml:space="preserve">| Comunicación Legali x Protecti | Value | Valor: el requerimientos genera entregables de valor para la integración de aplicaciones de JEP. |</w:t>
      </w:r>
      <w:r>
        <w:t xml:space="preserve"> </w:t>
      </w:r>
      <w:r>
        <w:t xml:space="preserve">| Contractual | Goal | Objetivo: el requerimiento tiene carácter contractual.</w:t>
      </w:r>
      <w:r>
        <w:t xml:space="preserve"> </w:t>
      </w:r>
      <w:r>
        <w:t xml:space="preserve">|</w:t>
      </w:r>
      <w:r>
        <w:t xml:space="preserve"> </w:t>
      </w:r>
      <w:r>
        <w:t xml:space="preserve">| Conversión de mensajes | Technology Service | 1. Debe poder convertir mensajes a / desde: XML, objetos Java, JSON, REST, CSV. |</w:t>
      </w:r>
      <w:r>
        <w:t xml:space="preserve"> </w:t>
      </w:r>
      <w:r>
        <w:t xml:space="preserve">| Generar API | Technology Service | 1. La solución debe implementar la publicación de microservicios que generen múltiples API para plataformas y clientes específicos con las funciones específicas y protocolos requeridos por cada plataforma. |</w:t>
      </w:r>
      <w:r>
        <w:t xml:space="preserve"> </w:t>
      </w:r>
      <w:r>
        <w:t xml:space="preserve">| Gestión de tokens de acceso | Technology Service | 1. Debe ser posible gestionar la creación de un token de acceso, eligiendo su alcance, permiso y otras cualidades a nivel de autenticación.</w:t>
      </w:r>
      <w:r>
        <w:t xml:space="preserve"> </w:t>
      </w:r>
      <w:r>
        <w:t xml:space="preserve">|</w:t>
      </w:r>
      <w:r>
        <w:t xml:space="preserve"> </w:t>
      </w:r>
      <w:r>
        <w:t xml:space="preserve">| Levantamiento | Constraint | Restricción: el requerimiento está condicionado por la completitud del levantamiento.</w:t>
      </w:r>
      <w:r>
        <w:t xml:space="preserve"> </w:t>
      </w:r>
      <w:r>
        <w:t xml:space="preserve">|</w:t>
      </w:r>
      <w:r>
        <w:t xml:space="preserve"> </w:t>
      </w:r>
      <w:r>
        <w:t xml:space="preserve">| Métricas con Prometheus | Technology Service | 1. La solución debería exponer métricas con integración nativa al software Prometheus. |</w:t>
      </w:r>
      <w:r>
        <w:t xml:space="preserve"> </w:t>
      </w:r>
      <w:r>
        <w:t xml:space="preserve">| Múltiples protocols | Technology Service | 1. La solución debe implementar el habilitar la traducción de múltiples protocolos del consumidor a un protocolo específico del microservicio ofrecido a través de un API Gateway.</w:t>
      </w:r>
      <w:r>
        <w:t xml:space="preserve"> </w:t>
      </w:r>
      <w:r>
        <w:t xml:space="preserve">|</w:t>
      </w:r>
      <w:r>
        <w:t xml:space="preserve"> </w:t>
      </w:r>
      <w:r>
        <w:t xml:space="preserve">| No Funcional | Goal | Condiciones técnicas que debe cumplir la solución de interoperabilidad JEP.</w:t>
      </w:r>
      <w:r>
        <w:t xml:space="preserve"> </w:t>
      </w:r>
      <w:r>
        <w:t xml:space="preserve">|</w:t>
      </w:r>
      <w:r>
        <w:t xml:space="preserve"> </w:t>
      </w:r>
      <w:r>
        <w:t xml:space="preserve">| Observabilidad de API | Technology Service | 1. Debe permitir ver las llamadas a la API y separar los códigos de retorno HTTP.</w:t>
      </w:r>
      <w:r>
        <w:t xml:space="preserve"> </w:t>
      </w:r>
      <w:r>
        <w:t xml:space="preserve">|</w:t>
      </w:r>
      <w:r>
        <w:t xml:space="preserve"> </w:t>
      </w:r>
      <w:r>
        <w:t xml:space="preserve">| Plataforma Openshift | Technology Service | 1. Los servicios se deberán implementar bajo la plataforma Openshift de RedHat. |</w:t>
      </w:r>
      <w:r>
        <w:t xml:space="preserve"> </w:t>
      </w:r>
      <w:r>
        <w:t xml:space="preserve">| Prácticas de integración empresarial | Technology Service | 1. La infraestructura debe distribuirse de modo que las integraciones, construidas a partir de EIP (patrones de integración empresarial) y conectores predefinidos, se implementen en la infraestructura nativa del contenedor para adaptarse y escalar rápidamente |</w:t>
      </w:r>
      <w:r>
        <w:t xml:space="preserve"> </w:t>
      </w:r>
      <w:r>
        <w:t xml:space="preserve">| REQR12. Integración Legali x Protecti | Requirement | Documentación API de integración. Creación de documento técnico para el consumo de servicios web.</w:t>
      </w:r>
    </w:p>
    <w:p>
      <w:pPr>
        <w:pStyle w:val="BodyText"/>
      </w:pPr>
      <w:r>
        <w:t xml:space="preserve">Fuente: Documentación técnica - API Integración - Consulta de personas (pdf). Pedro Escobar, ing.</w:t>
      </w:r>
    </w:p>
    <w:bookmarkEnd w:id="74"/>
    <w:bookmarkStart w:id="75" w:name="Xe2a2e48a481680c1d6185fe541c11ce4fece4bc"/>
    <w:p>
      <w:pPr>
        <w:pStyle w:val="Heading3"/>
      </w:pPr>
      <w:r>
        <w:t xml:space="preserve">Índice de la documentación (casos de uso)</w:t>
      </w:r>
    </w:p>
    <w:p>
      <w:pPr>
        <w:numPr>
          <w:ilvl w:val="0"/>
          <w:numId w:val="1020"/>
        </w:numPr>
        <w:pStyle w:val="Compact"/>
      </w:pPr>
      <w:r>
        <w:t xml:space="preserve">Personas</w:t>
      </w:r>
    </w:p>
    <w:p>
      <w:pPr>
        <w:numPr>
          <w:ilvl w:val="0"/>
          <w:numId w:val="1020"/>
        </w:numPr>
        <w:pStyle w:val="Compact"/>
      </w:pPr>
      <w:r>
        <w:t xml:space="preserve">Persona</w:t>
      </w:r>
    </w:p>
    <w:p>
      <w:pPr>
        <w:numPr>
          <w:ilvl w:val="0"/>
          <w:numId w:val="1020"/>
        </w:numPr>
        <w:pStyle w:val="Compact"/>
      </w:pPr>
      <w:r>
        <w:t xml:space="preserve">Dirección de la persona</w:t>
      </w:r>
    </w:p>
    <w:p>
      <w:pPr>
        <w:numPr>
          <w:ilvl w:val="0"/>
          <w:numId w:val="1020"/>
        </w:numPr>
        <w:pStyle w:val="Compact"/>
      </w:pPr>
      <w:r>
        <w:t xml:space="preserve">Teléfono de la persona</w:t>
      </w:r>
    </w:p>
    <w:p>
      <w:pPr>
        <w:numPr>
          <w:ilvl w:val="0"/>
          <w:numId w:val="1020"/>
        </w:numPr>
        <w:pStyle w:val="Compact"/>
      </w:pPr>
      <w:r>
        <w:t xml:space="preserve">Procesos de la persona</w:t>
      </w:r>
    </w:p>
    <w:p>
      <w:pPr>
        <w:numPr>
          <w:ilvl w:val="0"/>
          <w:numId w:val="1020"/>
        </w:numPr>
        <w:pStyle w:val="Compact"/>
      </w:pPr>
      <w:r>
        <w:t xml:space="preserve">Detalles del proceso</w:t>
      </w:r>
    </w:p>
    <w:p>
      <w:pPr>
        <w:numPr>
          <w:ilvl w:val="0"/>
          <w:numId w:val="1020"/>
        </w:numPr>
        <w:pStyle w:val="Compact"/>
      </w:pPr>
      <w:r>
        <w:t xml:space="preserve">Partes del proceso</w:t>
      </w:r>
    </w:p>
    <w:p>
      <w:pPr>
        <w:numPr>
          <w:ilvl w:val="0"/>
          <w:numId w:val="1020"/>
        </w:numPr>
        <w:pStyle w:val="Compact"/>
      </w:pPr>
      <w:r>
        <w:t xml:space="preserve">Asociación de parte del proceso</w:t>
      </w:r>
    </w:p>
    <w:p>
      <w:pPr>
        <w:numPr>
          <w:ilvl w:val="0"/>
          <w:numId w:val="1020"/>
        </w:numPr>
        <w:pStyle w:val="Compact"/>
      </w:pPr>
      <w:r>
        <w:t xml:space="preserve">Paginación</w:t>
      </w:r>
    </w:p>
    <w:p>
      <w:pPr>
        <w:pStyle w:val="FirstParagraph"/>
      </w:pPr>
      <w:r>
        <w:t xml:space="preserve">|</w:t>
      </w:r>
      <w:r>
        <w:t xml:space="preserve"> </w:t>
      </w:r>
      <w:r>
        <w:t xml:space="preserve">| REQR2. Condiciones tecnológicas JEP | Requirement | 1. La solución debe implementar el habilitar la traducción de múltiples protocolos del consumidor a un protocolo específico del microservicio ofrecido a través de un API Gateway</w:t>
      </w:r>
      <w:r>
        <w:t xml:space="preserve"> </w:t>
      </w:r>
      <w:r>
        <w:t xml:space="preserve">1. La solución debe implementar la publicación de microservicios que generen múltiples API para plataformas y clientes específicos con las funciones específicas y protocolos requeridos por cada plataforma</w:t>
      </w:r>
      <w:r>
        <w:t xml:space="preserve"> </w:t>
      </w:r>
      <w:r>
        <w:t xml:space="preserve">1. La solución debe implementar un mecanismo de hacer la trazabilidad, uso y registro de actividades de los microservicios.</w:t>
      </w:r>
      <w:r>
        <w:t xml:space="preserve"> </w:t>
      </w:r>
      <w:r>
        <w:t xml:space="preserve">1. Debe permitir la integración con un servicio de directorio corporativo que puede servir como administrador de identidad corporativa. Por lo tanto, la solución debe poder actuar como Administrador de acceso (Identity Access Manager - IaM) mientras que el Servicio de directorio sirve como Administrador e Identidades (Identity Manager - IdM).</w:t>
      </w:r>
      <w:r>
        <w:t xml:space="preserve"> </w:t>
      </w:r>
      <w:r>
        <w:t xml:space="preserve">1. Debe admitir la transformación y el enrutamiento hacia / desde SOAP / HTTP a los servicios REST.</w:t>
      </w:r>
      <w:r>
        <w:t xml:space="preserve"> </w:t>
      </w:r>
      <w:r>
        <w:t xml:space="preserve">1. Debe poder convertir mensajes a / desde: XML, objetos Java, JSON, REST, CSV.</w:t>
      </w:r>
      <w:r>
        <w:t xml:space="preserve"> </w:t>
      </w:r>
      <w:r>
        <w:t xml:space="preserve">1. Debe proporcionar componentes para la transformación utilizando modelos predefinidos (plantillas).</w:t>
      </w:r>
      <w:r>
        <w:t xml:space="preserve"> </w:t>
      </w:r>
      <w:r>
        <w:t xml:space="preserve">1. La infraestructura debe distribuirse de modo que las integraciones, construidas a partir de EIP (patrones de integración empresarial) y conectores predefinidos, se implementen en la infraestructura nativa del contenedor para adaptarse y escalar rápidamente</w:t>
      </w:r>
      <w:r>
        <w:t xml:space="preserve"> </w:t>
      </w:r>
      <w:r>
        <w:t xml:space="preserve">1. La solución debería exponer métricas con integración nativa al software Prometheus</w:t>
      </w:r>
      <w:r>
        <w:t xml:space="preserve"> </w:t>
      </w:r>
      <w:r>
        <w:t xml:space="preserve">1. Debe ser posible gestionar la creación de un token de acceso, eligiendo su alcance, permiso y otras cualidades a nivel de autenticación</w:t>
      </w:r>
      <w:r>
        <w:t xml:space="preserve"> </w:t>
      </w:r>
      <w:r>
        <w:t xml:space="preserve">1. La solución de administración de API debe admitir la instalación de API Gateways en contenedores tanto dentro de una plataforma Kubernetes o utilizando en motor de contenedor aprobado por la especificación OCI</w:t>
      </w:r>
      <w:r>
        <w:t xml:space="preserve"> </w:t>
      </w:r>
      <w:r>
        <w:t xml:space="preserve">1. Debe permitir ver las llamadas a la API y separar los códigos de retorno HTTP.</w:t>
      </w:r>
      <w:r>
        <w:t xml:space="preserve"> </w:t>
      </w:r>
      <w:r>
        <w:t xml:space="preserve">1. La herramienta API Gateway debe controlar la ejecución de llamadas, recopilar métricas, aplicar políticas y límites de ejecución;</w:t>
      </w:r>
      <w:r>
        <w:t xml:space="preserve"> </w:t>
      </w:r>
      <w:r>
        <w:t xml:space="preserve">1. Para permitir interoperabilidad debe habilitar transporte de mensajes y conectarse entre ellos. Los mecanismos de transporte deben incluir Java Messaging Service (JMS), Active MQ y asi mismo protocolos de comunicación tal como HTTP/HTTPS,SMTP, entre otros</w:t>
      </w:r>
      <w:r>
        <w:t xml:space="preserve"> </w:t>
      </w:r>
      <w:r>
        <w:t xml:space="preserve">1. Se debe contar con la característica de Single Sign On (SSO)</w:t>
      </w:r>
      <w:r>
        <w:t xml:space="preserve"> </w:t>
      </w:r>
      <w:r>
        <w:t xml:space="preserve">1. Los servicios se deberán implementar bajo la plataforma Openshift de RedHat</w:t>
      </w:r>
      <w:r>
        <w:t xml:space="preserve"> </w:t>
      </w:r>
      <w:r>
        <w:t xml:space="preserve">1. Se debe contemplar dentro de estos desarrollos la Transferencia de archivos utilizando el esquema de almacenamiento de Openshift ODF asociado a un esquema NFS, Administración de Personas, Consulta y transferencia de expedientes o partes de expedientes y anexos, etc</w:t>
      </w:r>
    </w:p>
    <w:p>
      <w:pPr>
        <w:pStyle w:val="BodyText"/>
      </w:pPr>
      <w:r>
        <w:t xml:space="preserve">Fuente: Anexo Técnico 1.1 Pliego del Proyecto</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75"/>
    <w:bookmarkStart w:id="76" w:name="Xf3f2a5b00035c349fdba78c62a0da344d81b6a9"/>
    <w:p>
      <w:pPr>
        <w:pStyle w:val="Heading3"/>
      </w:pPr>
      <w:r>
        <w:t xml:space="preserve">Índice de la documentación (casos de uso)</w:t>
      </w:r>
    </w:p>
    <w:p>
      <w:pPr>
        <w:numPr>
          <w:ilvl w:val="0"/>
          <w:numId w:val="1021"/>
        </w:numPr>
        <w:pStyle w:val="Compact"/>
      </w:pPr>
      <w:r>
        <w:t xml:space="preserve">Integración. Ingreso a Conti</w:t>
      </w:r>
    </w:p>
    <w:p>
      <w:pPr>
        <w:numPr>
          <w:ilvl w:val="0"/>
          <w:numId w:val="1021"/>
        </w:numPr>
        <w:pStyle w:val="Compact"/>
      </w:pPr>
      <w:r>
        <w:t xml:space="preserve">Integración. Consulta ítem de Conti</w:t>
      </w:r>
    </w:p>
    <w:p>
      <w:pPr>
        <w:numPr>
          <w:ilvl w:val="0"/>
          <w:numId w:val="1021"/>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SINT10. Integrar Radicar MP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SINT11. Integrar Indexar Imagen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SINT20. Personas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SINT21.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SINT22. Dirección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Partes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Teléfono de la persona | Application Service |</w:t>
      </w:r>
      <w:r>
        <w:t xml:space="preserve"> </w:t>
      </w:r>
      <w:r>
        <w:t xml:space="preserve">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SINT25. Procesos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Asociación de parte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Detalles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SINT27. Paginación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Single Sign On (SSO) | Technology Service | 1. Se debe contar con la característica de Single Sign On (SSO).</w:t>
      </w:r>
      <w:r>
        <w:t xml:space="preserve"> </w:t>
      </w:r>
      <w:r>
        <w:t xml:space="preserve">|</w:t>
      </w:r>
      <w:r>
        <w:t xml:space="preserve"> </w:t>
      </w:r>
      <w:r>
        <w:t xml:space="preserve">| Sistema de mensajes | Technology Service | 1. Para permitir interoperabilidad debe habilitar transporte de mensajes y conectarse entre ellos. Los mecanismos de transporte deben incluir Java Messaging Service (JMS), Active MQ y asi mismo protocolos de comunicación tal como HTTP/HTTPS,</w:t>
      </w:r>
      <w:r>
        <w:t xml:space="preserve"> </w:t>
      </w:r>
      <w:r>
        <w:t xml:space="preserve">SMTP, entre otros.</w:t>
      </w:r>
      <w:r>
        <w:t xml:space="preserve"> </w:t>
      </w:r>
      <w:r>
        <w:t xml:space="preserve">|</w:t>
      </w:r>
      <w:r>
        <w:t xml:space="preserve"> </w:t>
      </w:r>
      <w:r>
        <w:t xml:space="preserve">| Transferencia de archivos | Technology Service | 1. Se debe contemplar dentro de estos desarrollos la transferencia de archivos utilizando el esquema de almacenamiento de Openshift ODF asociado a un esquema NFS, Administración de Personas, Consulta y transferencia de expedientes o partes de expedientes y anexos, etc .</w:t>
      </w:r>
      <w:r>
        <w:t xml:space="preserve"> </w:t>
      </w:r>
      <w:r>
        <w:t xml:space="preserve">|</w:t>
      </w:r>
      <w:r>
        <w:t xml:space="preserve"> </w:t>
      </w:r>
      <w:r>
        <w:t xml:space="preserve">| Transformación | Technology Service | 1. Debe proporcionar componentes para la transformación utilizando modelos predefinidos (plantillas). |</w:t>
      </w:r>
      <w:r>
        <w:t xml:space="preserve"> </w:t>
      </w:r>
      <w:r>
        <w:t xml:space="preserve">| Transformación y enrutamiento | Technology Service | 1. Debe admitir la transformación y el enrutamiento hacia / desde SOAP / HTTP a los servicios REST. |</w:t>
      </w:r>
      <w:r>
        <w:t xml:space="preserve"> </w:t>
      </w:r>
      <w:r>
        <w:t xml:space="preserve">| Trazabilidad | Technology Service | 1. La solución debe implementar un mecanismo de hacer la trazabilidad, uso y registro de actividades de los microservicios.</w:t>
      </w:r>
      <w:r>
        <w:t xml:space="preserve"> </w:t>
      </w:r>
      <w:r>
        <w:t xml:space="preserve">|</w:t>
      </w:r>
    </w:p>
    <w:p>
      <w:pPr>
        <w:pStyle w:val="FirstParagraph"/>
      </w:pPr>
      <w:r>
        <w:t xml:space="preserve">Table: Elementos de la vista. {#tbl:tblelement-05.REQR.1n.RequerimientosServiciosdeIntegración-id}</w:t>
      </w:r>
    </w:p>
    <w:p>
      <w:pPr>
        <w:pStyle w:val="BodyText"/>
      </w:pPr>
    </w:p>
    <w:bookmarkEnd w:id="76"/>
    <w:bookmarkEnd w:id="77"/>
    <w:bookmarkEnd w:id="78"/>
    <w:bookmarkStart w:id="91" w:name="X61dfa82c97a3a580f97c53606d360ebf1f71057"/>
    <w:p>
      <w:pPr>
        <w:pStyle w:val="Heading1"/>
      </w:pPr>
      <w:r>
        <w:t xml:space="preserve">Modelo de Entrega y Despliegue de Requerimientos</w:t>
      </w:r>
    </w:p>
    <w:bookmarkStart w:id="84"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80" name="Picture"/>
            <a:graphic>
              <a:graphicData uri="http://schemas.openxmlformats.org/drawingml/2006/picture">
                <pic:pic>
                  <pic:nvPicPr>
                    <pic:cNvPr descr="images/06.ENTRG.1n.1a.GestiónEntregasdeRequerimientos.png" id="81" name="Picture"/>
                    <pic:cNvPicPr>
                      <a:picLocks noChangeArrowheads="1" noChangeAspect="1"/>
                    </pic:cNvPicPr>
                  </pic:nvPicPr>
                  <pic:blipFill>
                    <a:blip r:embed="rId79"/>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8: 06.ENTRG.1n.1a. Gestión Entregas de Requerimientos.</w:t>
      </w:r>
      <w:r>
        <w:t xml:space="preserve"> </w:t>
      </w:r>
      <w:r>
        <w:rPr>
          <w:iCs/>
          <w:i/>
        </w:rPr>
        <w:t xml:space="preserve">Fuente: Repositorio arquitectura Integración JEP (2024)</w:t>
      </w:r>
    </w:p>
    <w:bookmarkStart w:id="82" w:name="sec:catálogo-de-elementos-7"/>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2"/>
    <w:bookmarkStart w:id="83" w:name="X86137576b43553b931cb6462cf9744a43786633"/>
    <w:p>
      <w:pPr>
        <w:pStyle w:val="Heading3"/>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p>
    <w:p>
      <w:pPr>
        <w:pStyle w:val="FirstParagraph"/>
      </w:pPr>
      <w:r>
        <w:t xml:space="preserve">Table: Elementos de la vista. {#tbl:tblelement-06.ENTRG.1n.1a.GestiónEntregasdeRequerimientos-id}</w:t>
      </w:r>
    </w:p>
    <w:p>
      <w:pPr>
        <w:pStyle w:val="BodyText"/>
      </w:pPr>
    </w:p>
    <w:bookmarkEnd w:id="83"/>
    <w:bookmarkEnd w:id="84"/>
    <w:bookmarkStart w:id="90"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86" name="Picture"/>
            <a:graphic>
              <a:graphicData uri="http://schemas.openxmlformats.org/drawingml/2006/picture">
                <pic:pic>
                  <pic:nvPicPr>
                    <pic:cNvPr descr="images/06.ENTRG.1n.1a.1.DespliegueEntregasdeRequerimiento.png" id="87" name="Picture"/>
                    <pic:cNvPicPr>
                      <a:picLocks noChangeArrowheads="1" noChangeAspect="1"/>
                    </pic:cNvPicPr>
                  </pic:nvPicPr>
                  <pic:blipFill>
                    <a:blip r:embed="rId85"/>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9: 06.ENTRG.1n.1a.1. Despliegue Entregas de Requerimiento.</w:t>
      </w:r>
      <w:r>
        <w:t xml:space="preserve"> </w:t>
      </w:r>
      <w:r>
        <w:rPr>
          <w:iCs/>
          <w:i/>
        </w:rPr>
        <w:t xml:space="preserve">Fuente: Repositorio arquitectura Integración JEP (2024)</w:t>
      </w:r>
    </w:p>
    <w:bookmarkStart w:id="88" w:name="sec:catálogo-de-elementos-8"/>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respuesta o excepción | Data Object | Formato predefinido de intercambio de datos. |</w:t>
      </w:r>
      <w:r>
        <w:t xml:space="preserve"> </w:t>
      </w:r>
      <w:r>
        <w:t xml:space="preserve">| Mensaje solicitud | Data Object | Formato predefinido de intercambio de datos. |</w:t>
      </w:r>
      <w:r>
        <w:t xml:space="preserve"> </w:t>
      </w:r>
      <w:r>
        <w:t xml:space="preserve">| Nodo Integración JEP (worker) | Application Collaboration | Nodo lógico en donde corren los contenedores.</w:t>
      </w:r>
      <w:r>
        <w:t xml:space="preserve"> </w:t>
      </w:r>
      <w:r>
        <w:t xml:space="preserve">|</w:t>
      </w:r>
      <w:r>
        <w:t xml:space="preserve"> </w:t>
      </w:r>
      <w:r>
        <w:t xml:space="preserve">| Nodo Intermediador | Application Interface | Nodo lógico en donde corren los contenedores.</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8"/>
    <w:bookmarkStart w:id="89" w:name="X8867828d71e0b0cd7cb7e8656d52568a93ea2ef"/>
    <w:p>
      <w:pPr>
        <w:pStyle w:val="Heading3"/>
      </w:pPr>
      <w:r>
        <w:t xml:space="preserve">Índice de la documentación (casos de uso)</w:t>
      </w:r>
    </w:p>
    <w:p>
      <w:pPr>
        <w:numPr>
          <w:ilvl w:val="0"/>
          <w:numId w:val="1025"/>
        </w:numPr>
        <w:pStyle w:val="Compact"/>
      </w:pPr>
      <w:r>
        <w:t xml:space="preserve">Integración. Ingreso a Conti</w:t>
      </w:r>
    </w:p>
    <w:p>
      <w:pPr>
        <w:numPr>
          <w:ilvl w:val="0"/>
          <w:numId w:val="1025"/>
        </w:numPr>
        <w:pStyle w:val="Compact"/>
      </w:pPr>
      <w:r>
        <w:t xml:space="preserve">Integración. Consulta ítem de Conti</w:t>
      </w:r>
    </w:p>
    <w:p>
      <w:pPr>
        <w:numPr>
          <w:ilvl w:val="0"/>
          <w:numId w:val="1025"/>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p>
    <w:p>
      <w:pPr>
        <w:pStyle w:val="FirstParagraph"/>
      </w:pPr>
      <w:r>
        <w:t xml:space="preserve">Table: Elementos de la vista. {#tbl:tblelement-06.ENTRG.1n.1a.1.DespliegueEntregasdeRequerimiento-id}</w:t>
      </w:r>
    </w:p>
    <w:p>
      <w:pPr>
        <w:pStyle w:val="BodyText"/>
      </w:pPr>
    </w:p>
    <w:bookmarkEnd w:id="89"/>
    <w:bookmarkEnd w:id="90"/>
    <w:bookmarkEnd w:id="91"/>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r>
        <w:t xml:space="preserve"> </w:t>
      </w:r>
      <w:r>
        <w:t xml:space="preserve">|</w:t>
      </w:r>
      <w:r>
        <w:t xml:space="preserve"> </w:t>
      </w:r>
      <w:r>
        <w:t xml:space="preserve">| Tecnologías | Capability | * Red Hat Integration: suite de runtimes, frameworks, y servicios para aplicaciones nativas de Red Hat OpenShift.</w:t>
      </w:r>
      <w:r>
        <w:t xml:space="preserve"> </w:t>
      </w:r>
      <w:r>
        <w:t xml:space="preserve">* Camel Integration Tool</w:t>
      </w:r>
      <w:r>
        <w:t xml:space="preserve"> </w:t>
      </w:r>
      <w:r>
        <w:t xml:space="preserve">* Quarkus development framework</w:t>
      </w:r>
      <w:r>
        <w:t xml:space="preserve"> </w:t>
      </w:r>
      <w:r>
        <w:t xml:space="preserve">* Java OpenJDK 17</w:t>
      </w:r>
      <w:r>
        <w:t xml:space="preserve"> </w:t>
      </w:r>
      <w:r>
        <w:t xml:space="preserve">* EFK (Elasticsearch, FluentD, Kibana - ELKstack)</w:t>
      </w:r>
      <w:r>
        <w:t xml:space="preserve"> </w:t>
      </w:r>
      <w:r>
        <w:t xml:space="preserve">|</w:t>
      </w:r>
      <w:r>
        <w:t xml:space="preserve"> </w:t>
      </w:r>
      <w:r>
        <w:t xml:space="preserve">| Tipo de Comunicación | Capability | Pasar llamadas síncronas a asincrónicas: analizar apps que deben cambiar comunicación |</w:t>
      </w:r>
      <w:r>
        <w:t xml:space="preserve"> </w:t>
      </w:r>
      <w:r>
        <w:t xml:space="preserve">| Transformación de Mensajes | Capability | Mapeos, homologaciones y correspondencias.</w:t>
      </w:r>
      <w:r>
        <w:t xml:space="preserve"> </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CB0C267" w:rsidR="00B66951" w:rsidRDefault="003064EE">
    <w:pPr>
      <w:pStyle w:val="Header"/>
    </w:pPr>
    <w:r>
      <w:rPr>
        <w:noProof/>
      </w:rPr>
      <w:drawing>
        <wp:inline distT="0" distB="0" distL="0" distR="0" wp14:anchorId="541ECA73" wp14:editId="6ACC2B11">
          <wp:extent cx="20193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19300" cy="457200"/>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2"/>
  <w:embedSystemFonts/>
  <w:mirrorMargins/>
  <w:proofState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Interoperabilidad JEP, 2024</dc:title>
  <dc:creator/>
  <dc:language>en</dc:language>
  <dc:subject>Implementación Proyecto</dc:subject>
  <cp:keywords>Integración, Interoperabilidad, JEP, Softgic</cp:keywords>
  <dcterms:created xsi:type="dcterms:W3CDTF">2024-11-08T14:51:50Z</dcterms:created>
  <dcterms:modified xsi:type="dcterms:W3CDTF">2024-11-08T14:51:50Z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2024-09-16</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