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p>
      <w:pPr>
        <w:pStyle w:val="FirstParagraph"/>
      </w:pPr>
      <w:r>
        <w:t xml:space="preserve">$COMMIT</w:t>
      </w:r>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w:t>
      </w:r>
      <w:r>
        <w:t xml:space="preserve"> </w:t>
      </w:r>
      <w:r>
        <w:t xml:space="preserve">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Pr>
      <w:r>
        <w:rPr>
          <w:bCs/>
          <w:b/>
        </w:rPr>
        <w:t xml:space="preserve">ACC01. Planeación de Producción, Oct-Dic 2024</w:t>
      </w:r>
      <w:r>
        <w:t xml:space="preserve">. Objetivos y entregas en el tiempo, versiones de entrega del proyecto de integración.</w:t>
      </w:r>
    </w:p>
    <w:p>
      <w:pPr>
        <w:numPr>
          <w:ilvl w:val="0"/>
          <w:numId w:val="1005"/>
        </w:numPr>
      </w:pPr>
      <w:r>
        <w:rPr>
          <w:bCs/>
          <w:b/>
        </w:rPr>
        <w:t xml:space="preserve">AN</w:t>
      </w:r>
      <w:r>
        <w:t xml:space="preserve">.</w:t>
      </w:r>
    </w:p>
    <w:p>
      <w:pPr>
        <w:numPr>
          <w:ilvl w:val="0"/>
          <w:numId w:val="1005"/>
        </w:numPr>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p>
      <w:pPr>
        <w:numPr>
          <w:ilvl w:val="0"/>
          <w:numId w:val="1005"/>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5"/>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5"/>
        </w:numPr>
      </w:pPr>
      <w:r>
        <w:rPr>
          <w:bCs/>
          <w:b/>
        </w:rPr>
        <w:t xml:space="preserve">CI/CD</w:t>
      </w:r>
      <w:r>
        <w:t xml:space="preserve">. Actividades DevOps del ciclo o iteración de implementación.</w:t>
      </w:r>
    </w:p>
    <w:p>
      <w:pPr>
        <w:numPr>
          <w:ilvl w:val="0"/>
          <w:numId w:val="1005"/>
        </w:numPr>
      </w:pPr>
      <w:r>
        <w:rPr>
          <w:bCs/>
          <w:b/>
        </w:rPr>
        <w:t xml:space="preserve">Característica 1</w:t>
      </w:r>
      <w:r>
        <w:t xml:space="preserve">.</w:t>
      </w:r>
    </w:p>
    <w:p>
      <w:pPr>
        <w:numPr>
          <w:ilvl w:val="0"/>
          <w:numId w:val="1005"/>
        </w:numPr>
      </w:pPr>
      <w:r>
        <w:rPr>
          <w:bCs/>
          <w:b/>
        </w:rPr>
        <w:t xml:space="preserve">Característica 2</w:t>
      </w:r>
      <w:r>
        <w:t xml:space="preserve">.</w:t>
      </w:r>
    </w:p>
    <w:p>
      <w:pPr>
        <w:numPr>
          <w:ilvl w:val="0"/>
          <w:numId w:val="1005"/>
        </w:numPr>
      </w:pPr>
      <w:r>
        <w:rPr>
          <w:bCs/>
          <w:b/>
        </w:rPr>
        <w:t xml:space="preserve">DEV</w:t>
      </w:r>
      <w:r>
        <w:t xml:space="preserve">. Alcance de QA unitaria</w:t>
      </w:r>
    </w:p>
    <w:p>
      <w:pPr>
        <w:numPr>
          <w:ilvl w:val="0"/>
          <w:numId w:val="1005"/>
        </w:numPr>
      </w:pPr>
      <w:r>
        <w:rPr>
          <w:bCs/>
          <w:b/>
        </w:rPr>
        <w:t xml:space="preserve">DEV.Implementación</w:t>
      </w:r>
      <w:r>
        <w:t xml:space="preserve">. ### KPI</w:t>
      </w:r>
    </w:p>
    <w:p>
      <w:pPr>
        <w:numPr>
          <w:ilvl w:val="0"/>
          <w:numId w:val="1005"/>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5"/>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5"/>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5"/>
        </w:numPr>
      </w:pPr>
      <w:r>
        <w:rPr>
          <w:bCs/>
          <w:b/>
        </w:rPr>
        <w:t xml:space="preserve">DIS</w:t>
      </w:r>
      <w:r>
        <w:t xml:space="preserve">.</w:t>
      </w:r>
    </w:p>
    <w:p>
      <w:pPr>
        <w:numPr>
          <w:ilvl w:val="0"/>
          <w:numId w:val="1005"/>
        </w:numPr>
      </w:pPr>
      <w:r>
        <w:rPr>
          <w:bCs/>
          <w:b/>
        </w:rPr>
        <w:t xml:space="preserve">DIS.Arquitectura / diseño</w:t>
      </w:r>
      <w:r>
        <w:t xml:space="preserve">. ### 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Epica</w:t>
      </w:r>
      <w:r>
        <w:t xml:space="preserve">.</w:t>
      </w:r>
    </w:p>
    <w:p>
      <w:pPr>
        <w:numPr>
          <w:ilvl w:val="0"/>
          <w:numId w:val="1005"/>
        </w:numPr>
      </w:pPr>
      <w:r>
        <w:rPr>
          <w:bCs/>
          <w:b/>
        </w:rPr>
        <w:t xml:space="preserve">HU</w:t>
      </w:r>
      <w:r>
        <w:t xml:space="preserve">.</w:t>
      </w:r>
    </w:p>
    <w:p>
      <w:pPr>
        <w:numPr>
          <w:ilvl w:val="0"/>
          <w:numId w:val="1005"/>
        </w:numPr>
      </w:pPr>
      <w:r>
        <w:rPr>
          <w:bCs/>
          <w:b/>
        </w:rPr>
        <w:t xml:space="preserve">HU… n</w:t>
      </w:r>
      <w:r>
        <w:t xml:space="preserve">.</w:t>
      </w:r>
    </w:p>
    <w:p>
      <w:pPr>
        <w:numPr>
          <w:ilvl w:val="0"/>
          <w:numId w:val="1005"/>
        </w:numPr>
      </w:pPr>
      <w:r>
        <w:rPr>
          <w:bCs/>
          <w:b/>
        </w:rPr>
        <w:t xml:space="preserve">HU2</w:t>
      </w:r>
      <w:r>
        <w:t xml:space="preserve">.</w:t>
      </w:r>
    </w:p>
    <w:p>
      <w:pPr>
        <w:numPr>
          <w:ilvl w:val="0"/>
          <w:numId w:val="1005"/>
        </w:numPr>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Pr>
      <w:r>
        <w:rPr>
          <w:bCs/>
          <w:b/>
        </w:rPr>
        <w:t xml:space="preserve">Plan Producción: Ingeniería &lt;</w:t>
      </w:r>
      <w:r>
        <w:rPr>
          <w:bCs/>
          <w:b/>
        </w:rPr>
        <w:t xml:space="preserve">&gt;</w:t>
      </w:r>
      <w:r>
        <w:t xml:space="preserve">.</w:t>
      </w:r>
    </w:p>
    <w:p>
      <w:pPr>
        <w:numPr>
          <w:ilvl w:val="0"/>
          <w:numId w:val="1005"/>
        </w:numPr>
      </w:pPr>
      <w:r>
        <w:rPr>
          <w:bCs/>
          <w:b/>
        </w:rPr>
        <w:t xml:space="preserve">Plan Producción: Scrum y Gerencia</w:t>
      </w:r>
      <w:r>
        <w:t xml:space="preserve">.</w:t>
      </w:r>
    </w:p>
    <w:p>
      <w:pPr>
        <w:numPr>
          <w:ilvl w:val="0"/>
          <w:numId w:val="1005"/>
        </w:numPr>
      </w:pPr>
      <w:r>
        <w:rPr>
          <w:bCs/>
          <w:b/>
        </w:rPr>
        <w:t xml:space="preserve">QA</w:t>
      </w:r>
      <w:r>
        <w:t xml:space="preserve">.</w:t>
      </w:r>
    </w:p>
    <w:p>
      <w:pPr>
        <w:numPr>
          <w:ilvl w:val="0"/>
          <w:numId w:val="1005"/>
        </w:numPr>
      </w:pPr>
      <w:r>
        <w:rPr>
          <w:bCs/>
          <w:b/>
        </w:rPr>
        <w:t xml:space="preserve">UT (tarea)</w:t>
      </w:r>
      <w:r>
        <w:t xml:space="preserve">. Unidad mínima de trabajo (tarea por desarrollador).</w:t>
      </w:r>
    </w:p>
    <w:bookmarkEnd w:id="36"/>
    <w:bookmarkEnd w:id="37"/>
    <w:bookmarkEnd w:id="38"/>
    <w:bookmarkStart w:id="44" w:name="X326846961460e83c41309a5496c2a3d161f1329"/>
    <w:p>
      <w:pPr>
        <w:pStyle w:val="Heading1"/>
      </w:pPr>
      <w:r>
        <w:t xml:space="preserve">Modelo de Producción e Implementación</w:t>
      </w:r>
    </w:p>
    <w:bookmarkStart w:id="43"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w:t>
      </w:r>
      <w:r>
        <w:t xml:space="preserve"> </w:t>
      </w:r>
      <w:r>
        <w:t xml:space="preserve">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2"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tc>
      </w:tr>
    </w:tbl>
    <w:p>
      <w:pPr>
        <w:numPr>
          <w:ilvl w:val="0"/>
          <w:numId w:val="1006"/>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6"/>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CI/CD | Work Package | Actividades DevOps del ciclo o iteración de implementación. |</w:t>
      </w:r>
      <w:r>
        <w:t xml:space="preserve"> </w:t>
      </w:r>
      <w:r>
        <w:t xml:space="preserve">| Característica 1 | Deliverable | |</w:t>
      </w:r>
      <w:r>
        <w:t xml:space="preserve"> </w:t>
      </w:r>
      <w:r>
        <w:t xml:space="preserve">| Característica 2 | Deliverable | |</w:t>
      </w:r>
      <w:r>
        <w:t xml:space="preserve"> </w:t>
      </w:r>
      <w:r>
        <w:t xml:space="preserve">| Condición: Construir en paralelo (tiempo) | Constraint | |</w:t>
      </w:r>
      <w:r>
        <w:t xml:space="preserve"> </w:t>
      </w:r>
      <w:r>
        <w:t xml:space="preserve">| Condición: depender de otros servicios | Constraint | |</w:t>
      </w:r>
      <w:r>
        <w:t xml:space="preserve"> </w:t>
      </w:r>
      <w:r>
        <w:t xml:space="preserve">| DEV | Work Package | Alcance de QA unitaria |</w:t>
      </w:r>
      <w:r>
        <w:t xml:space="preserve"> </w:t>
      </w:r>
      <w:r>
        <w:t xml:space="preserve">| DEV | Work Package | Alcance de QA unitaria |</w:t>
      </w:r>
      <w:r>
        <w:t xml:space="preserve"> </w:t>
      </w:r>
      <w:r>
        <w:t xml:space="preserve">| DEV.Implementación | Business Process | ### 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DIS | Work Package | |</w:t>
      </w:r>
      <w:r>
        <w:t xml:space="preserve"> </w:t>
      </w:r>
      <w:r>
        <w:t xml:space="preserve">| DIS | Work Package | |</w:t>
      </w:r>
      <w:r>
        <w:t xml:space="preserve"> </w:t>
      </w:r>
      <w:r>
        <w:t xml:space="preserve">| DIS.Arquitectura / diseño | Business Process | ### KPI</w:t>
      </w:r>
    </w:p>
    <w:p>
      <w:pPr>
        <w:numPr>
          <w:ilvl w:val="0"/>
          <w:numId w:val="1006"/>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 |</w:t>
      </w:r>
      <w:r>
        <w:t xml:space="preserve"> </w:t>
      </w:r>
      <w:r>
        <w:t xml:space="preserve">| Epica | Deliverable | |</w:t>
      </w:r>
      <w:r>
        <w:t xml:space="preserve"> </w:t>
      </w:r>
      <w:r>
        <w:t xml:space="preserve">| HU | Deliverable | |</w:t>
      </w:r>
      <w:r>
        <w:t xml:space="preserve"> </w:t>
      </w:r>
      <w:r>
        <w:t xml:space="preserve">| HU… n | Deliverable | |</w:t>
      </w:r>
      <w:r>
        <w:t xml:space="preserve"> </w:t>
      </w:r>
      <w:r>
        <w:t xml:space="preserve">| HU2 | Deliverable | |</w:t>
      </w:r>
      <w:r>
        <w:t xml:space="preserve"> </w:t>
      </w:r>
      <w:r>
        <w:t xml:space="preserve">| ITR (itera) | Plateau | |</w:t>
      </w:r>
      <w:r>
        <w:t xml:space="preserve"> </w:t>
      </w:r>
      <w:r>
        <w:t xml:space="preserve">| Línea Producción Proyecto Integración JEP | Value Stream | |</w:t>
      </w:r>
      <w:r>
        <w:t xml:space="preserve"> </w:t>
      </w:r>
      <w:r>
        <w:t xml:space="preserve">| MET.APRB | Business Object |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 |</w:t>
      </w:r>
      <w:r>
        <w:t xml:space="preserve"> </w:t>
      </w:r>
      <w:r>
        <w:t xml:space="preserve">| MET.DEC | Business Object |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 |</w:t>
      </w:r>
      <w:r>
        <w:t xml:space="preserve"> </w:t>
      </w:r>
      <w:r>
        <w:t xml:space="preserve">| MET.VEL | Business Object | Cod. VEL Nombre indicador Velocidad de construcción Uso Capacidad interna de desarrollo Proceso DEV Calculo de medición Cantidad de puntos de HU ejecutadas / Horas habiles del mes de trabajo Fuente [Azure DevOps], [Calculo manual] |</w:t>
      </w:r>
      <w:r>
        <w:t xml:space="preserve"> </w:t>
      </w:r>
      <w:r>
        <w:t xml:space="preserve">| Meta: 20+ servicios de integración | Goal | |</w:t>
      </w:r>
      <w:r>
        <w:t xml:space="preserve"> </w:t>
      </w:r>
      <w:r>
        <w:t xml:space="preserve">| Otra Línea Producción JEP | Value Stream | |</w:t>
      </w:r>
      <w:r>
        <w:t xml:space="preserve"> </w:t>
      </w:r>
      <w:r>
        <w:t xml:space="preserve">| Plan Producción: Ingeniería &lt;</w:t>
      </w:r>
      <w:r>
        <w:t xml:space="preserve">&gt; | Grouping | |</w:t>
      </w:r>
      <w:r>
        <w:t xml:space="preserve"> </w:t>
      </w:r>
      <w:r>
        <w:t xml:space="preserve">| Plan Producción: Ingeniería &lt;</w:t>
      </w:r>
      <w:r>
        <w:t xml:space="preserve">&gt; (copy) | Grouping | |</w:t>
      </w:r>
      <w:r>
        <w:t xml:space="preserve"> </w:t>
      </w:r>
      <w:r>
        <w:t xml:space="preserve">| Plan Producción: Scrum y Gerencia | Grouping | |</w:t>
      </w:r>
      <w:r>
        <w:t xml:space="preserve"> </w:t>
      </w:r>
      <w:r>
        <w:t xml:space="preserve">| QA | Work Package | |</w:t>
      </w:r>
      <w:r>
        <w:t xml:space="preserve"> </w:t>
      </w:r>
      <w:r>
        <w:t xml:space="preserve">| UT (tarea) | Work Package | Unidad mínima de trabajo (tarea por desarrollador). |</w:t>
      </w:r>
    </w:p>
    <w:p>
      <w:pPr>
        <w:pStyle w:val="FirstParagraph"/>
      </w:pPr>
      <w:r>
        <w:t xml:space="preserve">Table: Elementos de la vista. {#tbl:tblelement-04.ING.2n.1b.Modeloproducción-id}</w:t>
      </w:r>
    </w:p>
    <w:p>
      <w:pPr>
        <w:pStyle w:val="BodyText"/>
      </w:pPr>
    </w:p>
    <w:bookmarkEnd w:id="42"/>
    <w:bookmarkEnd w:id="43"/>
    <w:bookmarkEnd w:id="44"/>
    <w:bookmarkStart w:id="64" w:name="X9e7f53aaf20e4f6d6db0d5f8753180b658170a4"/>
    <w:p>
      <w:pPr>
        <w:pStyle w:val="Heading1"/>
      </w:pPr>
      <w:r>
        <w:t xml:space="preserve">Modelo de Solución de Interoperabilidad</w:t>
      </w:r>
    </w:p>
    <w:bookmarkStart w:id="45"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w:t>
      </w:r>
      <w:r>
        <w:t xml:space="preserve"> </w:t>
      </w:r>
      <w:r>
        <w:t xml:space="preserve">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5"/>
    <w:bookmarkStart w:id="51" w:name="X7752beff684c0c0a58edbbc33ab6dc8269656ef"/>
    <w:p>
      <w:pPr>
        <w:pStyle w:val="Heading2"/>
      </w:pPr>
      <w:r>
        <w:t xml:space="preserve">Características Principales del Modelo de Integración JEP</w:t>
      </w:r>
    </w:p>
    <w:p>
      <w:pPr>
        <w:numPr>
          <w:ilvl w:val="0"/>
          <w:numId w:val="1007"/>
        </w:numPr>
        <w:pStyle w:val="Compact"/>
      </w:pPr>
      <w:r>
        <w:t xml:space="preserve">API de integración</w:t>
      </w:r>
    </w:p>
    <w:p>
      <w:pPr>
        <w:numPr>
          <w:ilvl w:val="0"/>
          <w:numId w:val="1007"/>
        </w:numPr>
        <w:pStyle w:val="Compact"/>
      </w:pPr>
      <w:r>
        <w:t xml:space="preserve">Patrones de integración empresarial (EIP)</w:t>
      </w:r>
    </w:p>
    <w:p>
      <w:pPr>
        <w:numPr>
          <w:ilvl w:val="0"/>
          <w:numId w:val="1007"/>
        </w:numPr>
        <w:pStyle w:val="Compact"/>
      </w:pPr>
      <w:r>
        <w:t xml:space="preserve">Sistema de Mensajería entre servicios de integración y aplicaciones JEP</w:t>
      </w:r>
    </w:p>
    <w:p>
      <w:pPr>
        <w:numPr>
          <w:ilvl w:val="0"/>
          <w:numId w:val="1007"/>
        </w:numPr>
        <w:pStyle w:val="Compact"/>
      </w:pPr>
      <w:r>
        <w:t xml:space="preserve">Flujos de datos para integración</w:t>
      </w:r>
    </w:p>
    <w:p>
      <w:pPr>
        <w:numPr>
          <w:ilvl w:val="0"/>
          <w:numId w:val="1007"/>
        </w:numPr>
        <w:pStyle w:val="Compact"/>
      </w:pPr>
      <w:r>
        <w:t xml:space="preserve">Arquitectura de clusters y contenedores para integración</w:t>
      </w:r>
    </w:p>
    <w:p>
      <w:pPr>
        <w:numPr>
          <w:ilvl w:val="0"/>
          <w:numId w:val="1007"/>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7" name="Picture"/>
            <a:graphic>
              <a:graphicData uri="http://schemas.openxmlformats.org/drawingml/2006/picture">
                <pic:pic>
                  <pic:nvPicPr>
                    <pic:cNvPr descr="images/04.ING.3n.1.ModelodeInteroperabilidadJEP,2024.png" id="48" name="Picture"/>
                    <pic:cNvPicPr>
                      <a:picLocks noChangeArrowheads="1" noChangeAspect="1"/>
                    </pic:cNvPicPr>
                  </pic:nvPicPr>
                  <pic:blipFill>
                    <a:blip r:embed="rId46"/>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0" w:name="sec:catálogo-de-elementos-3"/>
    <w:p>
      <w:pPr>
        <w:pStyle w:val="Heading3"/>
      </w:pPr>
      <w:r>
        <w:t xml:space="preserve">Catálogo de Elementos</w:t>
      </w:r>
    </w:p>
    <w:bookmarkStart w:id="49" w:name="Xeeaf58228d50662d1efed5403730c7649b7f49e"/>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49"/>
    <w:p>
      <w:pPr>
        <w:pStyle w:val="BodyText"/>
      </w:pPr>
    </w:p>
    <w:bookmarkEnd w:id="50"/>
    <w:bookmarkEnd w:id="51"/>
    <w:bookmarkStart w:id="57"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3" name="Picture"/>
            <a:graphic>
              <a:graphicData uri="http://schemas.openxmlformats.org/drawingml/2006/picture">
                <pic:pic>
                  <pic:nvPicPr>
                    <pic:cNvPr descr="images/04.ING.3n.2.AmbientesyHerramientasJEP.png" id="54" name="Picture"/>
                    <pic:cNvPicPr>
                      <a:picLocks noChangeArrowheads="1" noChangeAspect="1"/>
                    </pic:cNvPicPr>
                  </pic:nvPicPr>
                  <pic:blipFill>
                    <a:blip r:embed="rId52"/>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6" w:name="sec:catálogo-de-elementos-4"/>
    <w:p>
      <w:pPr>
        <w:pStyle w:val="Heading3"/>
      </w:pPr>
      <w:r>
        <w:t xml:space="preserve">Catálogo de Elementos</w:t>
      </w:r>
    </w:p>
    <w:bookmarkStart w:id="55" w:name="X1ad1bf11a9e00efef2c1258c35c5492b5fdb622"/>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5"/>
    <w:p>
      <w:pPr>
        <w:pStyle w:val="BodyText"/>
      </w:pPr>
    </w:p>
    <w:bookmarkEnd w:id="56"/>
    <w:bookmarkEnd w:id="57"/>
    <w:bookmarkStart w:id="63"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59" name="Picture"/>
            <a:graphic>
              <a:graphicData uri="http://schemas.openxmlformats.org/drawingml/2006/picture">
                <pic:pic>
                  <pic:nvPicPr>
                    <pic:cNvPr descr="images/04.ING.3n.3.SistemadeMensajeríaIntegraciónJEP.png" id="60" name="Picture"/>
                    <pic:cNvPicPr>
                      <a:picLocks noChangeArrowheads="1" noChangeAspect="1"/>
                    </pic:cNvPicPr>
                  </pic:nvPicPr>
                  <pic:blipFill>
                    <a:blip r:embed="rId58"/>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2" w:name="sec:catálogo-de-elementos-5"/>
    <w:p>
      <w:pPr>
        <w:pStyle w:val="Heading3"/>
      </w:pPr>
      <w:r>
        <w:t xml:space="preserve">Catálogo de Elementos</w:t>
      </w:r>
    </w:p>
    <w:bookmarkStart w:id="61" w:name="X0aa8ee665e4d2e3b8b9e1822dfa64724ee779a8"/>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1"/>
    <w:p>
      <w:pPr>
        <w:pStyle w:val="BodyText"/>
      </w:pPr>
    </w:p>
    <w:bookmarkEnd w:id="62"/>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2024-10-20T02:17:26Z</dcterms:created>
  <dcterms:modified xsi:type="dcterms:W3CDTF">2024-10-20T02:17:26Z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