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7.png" ContentType="image/png"/>
  <Override PartName="/word/media/rId35.png" ContentType="image/png"/>
  <Override PartName="/word/media/rId43.png" ContentType="image/png"/>
  <Override PartName="/word/media/rId53.png" ContentType="image/png"/>
  <Override PartName="/word/media/rId59.png" ContentType="image/png"/>
  <Override PartName="/word/media/rId64.png" ContentType="image/png"/>
  <Override PartName="/word/media/rId70.png" ContentType="image/png"/>
  <Override PartName="/word/media/rId85.png" ContentType="image/png"/>
  <Override PartName="/word/media/rId79.png" ContentType="image/png"/>
  <Override PartName="/word/media/image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Proyecto</w:t>
      </w:r>
      <w:r>
        <w:t xml:space="preserve"> </w:t>
      </w:r>
      <w:r>
        <w:t xml:space="preserve">de</w:t>
      </w:r>
      <w:r>
        <w:t xml:space="preserve"> </w:t>
      </w:r>
      <w:r>
        <w:t xml:space="preserve">Interoperabilidad</w:t>
      </w:r>
      <w:r>
        <w:t xml:space="preserve"> </w:t>
      </w:r>
      <w:r>
        <w:t xml:space="preserve">JEP,</w:t>
      </w:r>
      <w:r>
        <w:t xml:space="preserve"> </w:t>
      </w:r>
      <w:r>
        <w:t xml:space="preserve">2024</w:t>
      </w:r>
    </w:p>
    <w:p>
      <w:pPr>
        <w:pStyle w:val="Subtitle"/>
      </w:pPr>
      <w:r>
        <w:t xml:space="preserve">Implementación</w:t>
      </w:r>
      <w:r>
        <w:t xml:space="preserve"> </w:t>
      </w:r>
      <w:r>
        <w:t xml:space="preserve">Proyecto</w:t>
      </w:r>
      <w:r>
        <w:t xml:space="preserve"> </w:t>
      </w:r>
      <w:r>
        <w:t xml:space="preserve">Evolución</w:t>
      </w:r>
      <w:r>
        <w:t xml:space="preserve"> </w:t>
      </w:r>
      <w:r>
        <w:t xml:space="preserve">de</w:t>
      </w:r>
      <w:r>
        <w:t xml:space="preserve"> </w:t>
      </w:r>
      <w:r>
        <w:t xml:space="preserve">Interoperabilidad</w:t>
      </w:r>
      <w:r>
        <w:t xml:space="preserve"> </w:t>
      </w:r>
      <w:r>
        <w:t xml:space="preserve">JEP,</w:t>
      </w:r>
      <w:r>
        <w:t xml:space="preserve"> </w:t>
      </w:r>
      <w:r>
        <w:t xml:space="preserve">Softgic</w:t>
      </w:r>
    </w:p>
    <w:p>
      <w:pPr>
        <w:pStyle w:val="Author"/>
      </w:pPr>
    </w:p>
    <w:p>
      <w:pPr>
        <w:pStyle w:val="Date"/>
      </w:pPr>
      <w:r>
        <w:t xml:space="preserve">2024-09-16</w:t>
      </w:r>
    </w:p>
    <w:bookmarkStart w:id="20" w:name="X746a203c3adbaa3a42d0f334ca4a5ab832aff99"/>
    <w:p>
      <w:pPr>
        <w:pStyle w:val="Heading1"/>
      </w:pPr>
      <w:r>
        <w:t xml:space="preserve">Documentación Técnica del Proyecto Integración JEP</w:t>
      </w:r>
    </w:p>
    <w:p>
      <w:pPr>
        <w:numPr>
          <w:ilvl w:val="0"/>
          <w:numId w:val="1001"/>
        </w:numPr>
        <w:pStyle w:val="Compact"/>
      </w:pPr>
      <w:hyperlink w:anchor="información-del-documento">
        <w:r>
          <w:rPr>
            <w:rStyle w:val="Hyperlink"/>
          </w:rPr>
          <w:t xml:space="preserve">Información del Documento</w:t>
        </w:r>
      </w:hyperlink>
    </w:p>
    <w:p>
      <w:pPr>
        <w:numPr>
          <w:ilvl w:val="0"/>
          <w:numId w:val="1001"/>
        </w:numPr>
        <w:pStyle w:val="Compact"/>
      </w:pPr>
      <w:hyperlink w:anchor="roles-y-equipo-de-trabajo">
        <w:r>
          <w:rPr>
            <w:rStyle w:val="Hyperlink"/>
          </w:rPr>
          <w:t xml:space="preserve">Roles y Equipo de Trabajo</w:t>
        </w:r>
      </w:hyperlink>
    </w:p>
    <w:p>
      <w:pPr>
        <w:numPr>
          <w:ilvl w:val="0"/>
          <w:numId w:val="1001"/>
        </w:numPr>
        <w:pStyle w:val="Compact"/>
      </w:pPr>
      <w:hyperlink w:anchor="gestión-de-trabajo-del-proyecto">
        <w:r>
          <w:rPr>
            <w:rStyle w:val="Hyperlink"/>
          </w:rPr>
          <w:t xml:space="preserve">Gestión de Trabajo del Proyecto</w:t>
        </w:r>
      </w:hyperlink>
    </w:p>
    <w:p>
      <w:pPr>
        <w:numPr>
          <w:ilvl w:val="0"/>
          <w:numId w:val="1001"/>
        </w:numPr>
        <w:pStyle w:val="Compact"/>
      </w:pPr>
      <w:hyperlink w:anchor="modelo-de-producción-e-implementación">
        <w:r>
          <w:rPr>
            <w:rStyle w:val="Hyperlink"/>
          </w:rPr>
          <w:t xml:space="preserve">Modelo de Producción e Implementación</w:t>
        </w:r>
      </w:hyperlink>
    </w:p>
    <w:p>
      <w:pPr>
        <w:numPr>
          <w:ilvl w:val="0"/>
          <w:numId w:val="1001"/>
        </w:numPr>
        <w:pStyle w:val="Compact"/>
      </w:pPr>
      <w:hyperlink w:anchor="modelo-de-solución-de-interoperabilidad">
        <w:r>
          <w:rPr>
            <w:rStyle w:val="Hyperlink"/>
          </w:rPr>
          <w:t xml:space="preserve">Modelo de Solución de Interoperabilidad</w:t>
        </w:r>
      </w:hyperlink>
    </w:p>
    <w:p>
      <w:pPr>
        <w:numPr>
          <w:ilvl w:val="0"/>
          <w:numId w:val="1001"/>
        </w:numPr>
        <w:pStyle w:val="Compact"/>
      </w:pPr>
      <w:hyperlink w:anchor="Xd4e602d16cd0c13b672c1b6ecdc8f1901a364ec">
        <w:r>
          <w:rPr>
            <w:rStyle w:val="Hyperlink"/>
          </w:rPr>
          <w:t xml:space="preserve">Modelo de Requerimientos de Interoperabilidad Proyecto JEP</w:t>
        </w:r>
      </w:hyperlink>
    </w:p>
    <w:p>
      <w:pPr>
        <w:numPr>
          <w:ilvl w:val="0"/>
          <w:numId w:val="1001"/>
        </w:numPr>
        <w:pStyle w:val="Compact"/>
      </w:pPr>
      <w:hyperlink w:anchor="X8698eb5c04296ffba30822e3eb11f1f0c549de1">
        <w:r>
          <w:rPr>
            <w:rStyle w:val="Hyperlink"/>
          </w:rPr>
          <w:t xml:space="preserve">Modelo de Entrega y Despliegue de Requerimientos</w:t>
        </w:r>
      </w:hyperlink>
    </w:p>
    <w:bookmarkEnd w:id="20"/>
    <w:bookmarkStart w:id="24" w:name="sec:información-del-documento"/>
    <w:p>
      <w:pPr>
        <w:pStyle w:val="Heading1"/>
      </w:pPr>
      <w:r>
        <w:t xml:space="preserve">Información del Documento</w:t>
      </w:r>
    </w:p>
    <w:bookmarkStart w:id="23" w:name="sec:versión-del-documento"/>
    <w:p>
      <w:pPr>
        <w:pStyle w:val="Heading2"/>
      </w:pPr>
      <w:r>
        <w:t xml:space="preserve">Versión del Documento</w:t>
      </w:r>
    </w:p>
    <w:p>
      <w:pPr>
        <w:pStyle w:val="FirstParagraph"/>
      </w:pPr>
    </w:p>
    <w:p>
      <w:pPr>
        <w:pStyle w:val="BodyText"/>
      </w:pPr>
      <w:r>
        <w:t xml:space="preserve">Versión actual:</w:t>
      </w:r>
      <w:r>
        <w:t xml:space="preserve"> </w:t>
      </w:r>
      <w:r>
        <w:t xml:space="preserve">1.447f591 - gitlog.HEAD - Fri, 8 Nov 2024 10:24:49 -0500</w:t>
      </w:r>
    </w:p>
    <w:p>
      <w:pPr>
        <w:pStyle w:val="BodyText"/>
      </w:pPr>
      <w:r>
        <w:t xml:space="preserve">Versiones Anteriores</w:t>
      </w:r>
    </w:p>
    <w:p>
      <w:pPr>
        <w:pStyle w:val="BodyText"/>
      </w:pPr>
      <w:r>
        <w:t xml:space="preserve">1.447f591 - gitlog.HEAD - Fri, 8 Nov 2024 10:24:49 -0500</w:t>
      </w:r>
    </w:p>
    <w:bookmarkStart w:id="21" w:name="sec:realizado-por"/>
    <w:p>
      <w:pPr>
        <w:pStyle w:val="Heading3"/>
      </w:pPr>
      <w:r>
        <w:t xml:space="preserve">Realizado Por</w:t>
      </w:r>
    </w:p>
    <w:p>
      <w:pPr>
        <w:pStyle w:val="FirstParagraph"/>
      </w:pPr>
      <w:r>
        <w:t xml:space="preserve">Sofgic.co</w:t>
      </w:r>
    </w:p>
    <w:bookmarkEnd w:id="21"/>
    <w:bookmarkStart w:id="22" w:name="sec:revisado-por"/>
    <w:p>
      <w:pPr>
        <w:pStyle w:val="Heading3"/>
      </w:pPr>
      <w:r>
        <w:t xml:space="preserve">Revisado Por</w:t>
      </w:r>
    </w:p>
    <w:p>
      <w:pPr>
        <w:pStyle w:val="FirstParagraph"/>
      </w:pPr>
      <w:r>
        <w:t xml:space="preserve">Sofgic.co</w:t>
      </w:r>
    </w:p>
    <w:bookmarkEnd w:id="22"/>
    <w:bookmarkEnd w:id="23"/>
    <w:bookmarkEnd w:id="24"/>
    <w:bookmarkStart w:id="34" w:name="sec:roles-y-equipo-de-trabajo"/>
    <w:p>
      <w:pPr>
        <w:pStyle w:val="Heading1"/>
      </w:pPr>
      <w:r>
        <w:t xml:space="preserve">Roles y Equipo de Trabajo</w:t>
      </w:r>
    </w:p>
    <w:bookmarkStart w:id="33" w:name="X44334a32756ca838c3c5979cf1b6dd2fc745937"/>
    <w:p>
      <w:pPr>
        <w:pStyle w:val="Heading2"/>
      </w:pPr>
      <w:r>
        <w:t xml:space="preserve">Roles y Division de Trabajo del Proyecto</w:t>
      </w:r>
    </w:p>
    <w:p>
      <w:pPr>
        <w:pStyle w:val="BlockText"/>
      </w:pPr>
      <w:r>
        <w:t xml:space="preserve">Modelo de Implementación Proyecto JEP, 2024. Softgic. Propuesta roles de trabajo del proyecto de servicios de integración JEP. Ver 0.1</w:t>
      </w:r>
    </w:p>
    <w:p>
      <w:pPr>
        <w:pStyle w:val="FirstParagraph"/>
      </w:pPr>
    </w:p>
    <w:p>
      <w:pPr>
        <w:pStyle w:val="BodyText"/>
      </w:pPr>
      <w:r>
        <w:t xml:space="preserve">Las división de trabajo conveniente dadas las condiciones del proyecto de integración JEP es la siguiente.</w:t>
      </w:r>
    </w:p>
    <w:bookmarkStart w:id="25" w:name="X2cd108abe69dbb29d63dc3e5b7edcd639e8aa45"/>
    <w:p>
      <w:pPr>
        <w:pStyle w:val="Heading3"/>
      </w:pPr>
      <w:r>
        <w:t xml:space="preserve">Consultor de Integración (responsabilidades)</w:t>
      </w:r>
    </w:p>
    <w:p>
      <w:pPr>
        <w:numPr>
          <w:ilvl w:val="0"/>
          <w:numId w:val="1002"/>
        </w:numPr>
        <w:pStyle w:val="Compact"/>
      </w:pPr>
      <w:r>
        <w:t xml:space="preserve">Arquitectura de contenedores</w:t>
      </w:r>
    </w:p>
    <w:p>
      <w:pPr>
        <w:numPr>
          <w:ilvl w:val="0"/>
          <w:numId w:val="1002"/>
        </w:numPr>
        <w:pStyle w:val="Compact"/>
      </w:pPr>
      <w:r>
        <w:t xml:space="preserve">Definir y documentar soluciones</w:t>
      </w:r>
    </w:p>
    <w:p>
      <w:pPr>
        <w:numPr>
          <w:ilvl w:val="0"/>
          <w:numId w:val="1002"/>
        </w:numPr>
        <w:pStyle w:val="Compact"/>
      </w:pPr>
      <w:r>
        <w:t xml:space="preserve">Especificar interfaces</w:t>
      </w:r>
    </w:p>
    <w:p>
      <w:pPr>
        <w:numPr>
          <w:ilvl w:val="0"/>
          <w:numId w:val="1002"/>
        </w:numPr>
        <w:pStyle w:val="Compact"/>
      </w:pPr>
      <w:r>
        <w:t xml:space="preserve">Soporte paso producción</w:t>
      </w:r>
    </w:p>
    <w:bookmarkEnd w:id="25"/>
    <w:bookmarkStart w:id="26" w:name="sec:arquitecto-de-integración"/>
    <w:p>
      <w:pPr>
        <w:pStyle w:val="Heading3"/>
      </w:pPr>
      <w:r>
        <w:t xml:space="preserve">Arquitecto de Integración</w:t>
      </w:r>
    </w:p>
    <w:p>
      <w:pPr>
        <w:numPr>
          <w:ilvl w:val="0"/>
          <w:numId w:val="1003"/>
        </w:numPr>
        <w:pStyle w:val="Compact"/>
      </w:pPr>
      <w:r>
        <w:t xml:space="preserve">arquitectura bus servicios</w:t>
      </w:r>
    </w:p>
    <w:p>
      <w:pPr>
        <w:numPr>
          <w:ilvl w:val="0"/>
          <w:numId w:val="1003"/>
        </w:numPr>
        <w:pStyle w:val="Compact"/>
      </w:pPr>
      <w:r>
        <w:t xml:space="preserve">soporte desarrollo</w:t>
      </w:r>
    </w:p>
    <w:p>
      <w:pPr>
        <w:numPr>
          <w:ilvl w:val="0"/>
          <w:numId w:val="1003"/>
        </w:numPr>
        <w:pStyle w:val="Compact"/>
      </w:pPr>
      <w:r>
        <w:t xml:space="preserve">soporte cliente</w:t>
      </w:r>
    </w:p>
    <w:p>
      <w:pPr>
        <w:numPr>
          <w:ilvl w:val="0"/>
          <w:numId w:val="1003"/>
        </w:numPr>
        <w:pStyle w:val="Compact"/>
      </w:pPr>
      <w:r>
        <w:t xml:space="preserve">mitigar riesgos arquitectura</w:t>
      </w:r>
    </w:p>
    <w:bookmarkEnd w:id="26"/>
    <w:bookmarkStart w:id="30" w:name="sec:consultor-de-infraestructura"/>
    <w:p>
      <w:pPr>
        <w:pStyle w:val="Heading3"/>
      </w:pPr>
      <w:r>
        <w:t xml:space="preserve">Consultor de Infraestructura</w:t>
      </w:r>
    </w:p>
    <w:p>
      <w:pPr>
        <w:numPr>
          <w:ilvl w:val="0"/>
          <w:numId w:val="1004"/>
        </w:numPr>
        <w:pStyle w:val="Compact"/>
      </w:pPr>
      <w:r>
        <w:t xml:space="preserve">definir y documentar soluciones (de infr.)</w:t>
      </w:r>
    </w:p>
    <w:p>
      <w:pPr>
        <w:numPr>
          <w:ilvl w:val="0"/>
          <w:numId w:val="1004"/>
        </w:numPr>
        <w:pStyle w:val="Compact"/>
      </w:pPr>
      <w:r>
        <w:t xml:space="preserve">documentar componentes e interfaces (de infr.)</w:t>
      </w:r>
    </w:p>
    <w:p>
      <w:pPr>
        <w:numPr>
          <w:ilvl w:val="0"/>
          <w:numId w:val="1004"/>
        </w:numPr>
        <w:pStyle w:val="Compact"/>
      </w:pPr>
      <w:r>
        <w:t xml:space="preserve">soporte post producción</w:t>
      </w:r>
    </w:p>
    <w:p>
      <w:pPr>
        <w:pStyle w:val="CaptionedFigure"/>
      </w:pPr>
      <w:r>
        <w:drawing>
          <wp:inline>
            <wp:extent cx="3966181" cy="4762500"/>
            <wp:effectExtent b="0" l="0" r="0" t="0"/>
            <wp:docPr descr="04.ING.1n. Roles y división de trabajo. Fuente: Repositorio arquitectura Integración JEP (2024)" title="" id="28" name="Picture"/>
            <a:graphic>
              <a:graphicData uri="http://schemas.openxmlformats.org/drawingml/2006/picture">
                <pic:pic>
                  <pic:nvPicPr>
                    <pic:cNvPr descr="images/04.ING.1n.Rolesydivisióndetrabajo.png" id="29" name="Picture"/>
                    <pic:cNvPicPr>
                      <a:picLocks noChangeArrowheads="1" noChangeAspect="1"/>
                    </pic:cNvPicPr>
                  </pic:nvPicPr>
                  <pic:blipFill>
                    <a:blip r:embed="rId27"/>
                    <a:stretch>
                      <a:fillRect/>
                    </a:stretch>
                  </pic:blipFill>
                  <pic:spPr bwMode="auto">
                    <a:xfrm>
                      <a:off x="0" y="0"/>
                      <a:ext cx="3966181" cy="4762500"/>
                    </a:xfrm>
                    <a:prstGeom prst="rect">
                      <a:avLst/>
                    </a:prstGeom>
                    <a:noFill/>
                    <a:ln w="9525">
                      <a:noFill/>
                      <a:headEnd/>
                      <a:tailEnd/>
                    </a:ln>
                  </pic:spPr>
                </pic:pic>
              </a:graphicData>
            </a:graphic>
          </wp:inline>
        </w:drawing>
      </w:r>
    </w:p>
    <w:p>
      <w:pPr>
        <w:pStyle w:val="ImageCaption"/>
      </w:pPr>
      <w:r>
        <w:t xml:space="preserve">Figura 1: 04.ING.1n. Roles y división de trabajo.</w:t>
      </w:r>
      <w:r>
        <w:t xml:space="preserve"> </w:t>
      </w:r>
      <w:r>
        <w:rPr>
          <w:iCs/>
          <w:i/>
        </w:rPr>
        <w:t xml:space="preserve">Fuente: Repositorio arquitectura Integración JEP (2024)</w:t>
      </w:r>
    </w:p>
    <w:bookmarkEnd w:id="30"/>
    <w:bookmarkStart w:id="32" w:name="sec:catálogo-de-elementos"/>
    <w:p>
      <w:pPr>
        <w:pStyle w:val="Heading3"/>
      </w:pPr>
      <w:r>
        <w:t xml:space="preserve">Catálogo de Elementos</w:t>
      </w:r>
    </w:p>
    <w:bookmarkStart w:id="31" w:name="Xcf39b7c8e32cb5b4e6e19155b8acd35d243a3c6"/>
    <w:p>
      <w:pPr>
        <w:pStyle w:val="TableCaption"/>
      </w:pPr>
      <w:r>
        <w:rPr>
          <w:iCs/>
          <w:i/>
        </w:rPr>
        <w:t xml:space="preserve">Tabla 1</w:t>
      </w:r>
      <w:r>
        <w:t xml:space="preserve">: Elementos de la vista.</w:t>
      </w:r>
    </w:p>
    <w:tbl>
      <w:tblPr>
        <w:tblStyle w:val="Table"/>
        <w:tblW w:type="pct" w:w="5000"/>
        <w:tblLook w:firstRow="1" w:lastRow="0" w:firstColumn="0" w:lastColumn="0" w:noHBand="0" w:noVBand="0" w:val="0020"/>
        <w:jc w:val="start"/>
        <w:tblLayout w:type="fixed"/>
        <w:tblCaption w:val="Tabla 1: Elementos de la vista."/>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Arquitecto</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Bus empresarial</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CI/CD</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Cluster, nodos, redes, etc.</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Contenedores (orquestación)</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Definiciones</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Desarrollo y control versión</w:t>
            </w:r>
          </w:p>
        </w:tc>
        <w:tc>
          <w:tcPr/>
          <w:p>
            <w:pPr>
              <w:pStyle w:val="Compact"/>
              <w:jc w:val="left"/>
            </w:pPr>
            <w:r>
              <w:t xml:space="preserve">Goal</w:t>
            </w:r>
          </w:p>
        </w:tc>
        <w:tc>
          <w:tcPr/>
          <w:p>
            <w:pPr>
              <w:pStyle w:val="Compact"/>
              <w:jc w:val="left"/>
            </w:pPr>
            <w:r>
              <w:t xml:space="preserve">Evidencia representativa de problemática objeto de la propuesta de refuerzo de arquitectura.</w:t>
            </w:r>
          </w:p>
        </w:tc>
      </w:tr>
      <w:tr>
        <w:tc>
          <w:tcPr/>
          <w:p>
            <w:pPr>
              <w:pStyle w:val="Compact"/>
              <w:jc w:val="left"/>
            </w:pPr>
            <w:r>
              <w:t xml:space="preserve">Documentación</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Entregas</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Implementación</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Infraestructura</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Infraestructura operacional</w:t>
            </w:r>
          </w:p>
        </w:tc>
        <w:tc>
          <w:tcPr/>
          <w:p>
            <w:pPr>
              <w:pStyle w:val="Compact"/>
              <w:jc w:val="left"/>
            </w:pPr>
            <w:r>
              <w:t xml:space="preserve">Driver</w:t>
            </w:r>
          </w:p>
        </w:tc>
        <w:tc>
          <w:tcPr/>
          <w:p>
            <w:pPr>
              <w:pStyle w:val="Compact"/>
              <w:jc w:val="left"/>
            </w:pPr>
            <w:r>
              <w:t xml:space="preserve">Obligación TDR, contrato, proyecto JEP.</w:t>
            </w:r>
          </w:p>
        </w:tc>
      </w:tr>
      <w:tr>
        <w:tc>
          <w:tcPr/>
          <w:p>
            <w:pPr>
              <w:pStyle w:val="Compact"/>
              <w:jc w:val="left"/>
            </w:pPr>
            <w:r>
              <w:t xml:space="preserve">Integración</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Malla de servicios</w:t>
            </w:r>
          </w:p>
        </w:tc>
        <w:tc>
          <w:tcPr/>
          <w:p>
            <w:pPr>
              <w:pStyle w:val="Compact"/>
              <w:jc w:val="left"/>
            </w:pPr>
            <w:r>
              <w:t xml:space="preserve">Goal</w:t>
            </w:r>
          </w:p>
        </w:tc>
        <w:tc>
          <w:tcPr/>
          <w:p>
            <w:pPr>
              <w:pStyle w:val="Compact"/>
              <w:jc w:val="left"/>
            </w:pPr>
            <w:r>
              <w:t xml:space="preserve">Enlace de los servicios de integración implementados por el proyecto con las herramientas de monitoreo y salud de los sistemas JEP.</w:t>
            </w:r>
          </w:p>
        </w:tc>
      </w:tr>
      <w:tr>
        <w:tc>
          <w:tcPr/>
          <w:p>
            <w:pPr>
              <w:pStyle w:val="Compact"/>
            </w:pPr>
          </w:p>
        </w:tc>
        <w:tc>
          <w:tcPr/>
          <w:p>
            <w:pPr>
              <w:pStyle w:val="Compact"/>
            </w:pPr>
          </w:p>
        </w:tc>
        <w:tc>
          <w:tcPr/>
          <w:p>
            <w:pPr>
              <w:pStyle w:val="Compact"/>
            </w:pPr>
          </w:p>
        </w:tc>
      </w:tr>
      <w:tr>
        <w:tc>
          <w:tcPr/>
          <w:p>
            <w:pPr>
              <w:pStyle w:val="Compact"/>
              <w:jc w:val="left"/>
            </w:pPr>
            <w:r>
              <w:t xml:space="preserve">Post producción</w:t>
            </w:r>
          </w:p>
        </w:tc>
        <w:tc>
          <w:tcPr/>
          <w:p>
            <w:pPr>
              <w:pStyle w:val="Compact"/>
              <w:jc w:val="left"/>
            </w:pPr>
            <w:r>
              <w:t xml:space="preserve">Goal</w:t>
            </w:r>
          </w:p>
        </w:tc>
        <w:tc>
          <w:tcPr/>
          <w:p>
            <w:pPr>
              <w:pStyle w:val="Compact"/>
              <w:jc w:val="left"/>
            </w:pPr>
            <w:r>
              <w:t xml:space="preserve">Evidencia representativa de problemática objeto de la propuesta de refuerzo de arquitectura.</w:t>
            </w:r>
          </w:p>
        </w:tc>
      </w:tr>
      <w:tr>
        <w:tc>
          <w:tcPr/>
          <w:p>
            <w:pPr>
              <w:pStyle w:val="Compact"/>
              <w:jc w:val="left"/>
            </w:pPr>
            <w:r>
              <w:t xml:space="preserve">Riesgos técnicos</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Soporte</w:t>
            </w:r>
          </w:p>
        </w:tc>
        <w:tc>
          <w:tcPr/>
          <w:p>
            <w:pPr>
              <w:pStyle w:val="Compact"/>
              <w:jc w:val="left"/>
            </w:pPr>
            <w:r>
              <w:t xml:space="preserve">Driver</w:t>
            </w:r>
          </w:p>
        </w:tc>
        <w:tc>
          <w:tcPr/>
          <w:p>
            <w:pPr>
              <w:pStyle w:val="Compact"/>
              <w:jc w:val="left"/>
            </w:pPr>
            <w:r>
              <w:t xml:space="preserve">Obligación TDR, contrato, proyecto JEP.</w:t>
            </w:r>
          </w:p>
        </w:tc>
      </w:tr>
      <w:tr>
        <w:tc>
          <w:tcPr/>
          <w:p>
            <w:pPr>
              <w:pStyle w:val="Compact"/>
              <w:jc w:val="left"/>
            </w:pPr>
            <w:r>
              <w:t xml:space="preserve">Transición (producción)</w:t>
            </w:r>
          </w:p>
        </w:tc>
        <w:tc>
          <w:tcPr/>
          <w:p>
            <w:pPr>
              <w:pStyle w:val="Compact"/>
              <w:jc w:val="left"/>
            </w:pPr>
            <w:r>
              <w:t xml:space="preserve">Outcome</w:t>
            </w:r>
          </w:p>
        </w:tc>
        <w:tc>
          <w:tcPr/>
          <w:p>
            <w:pPr>
              <w:pStyle w:val="Compact"/>
              <w:jc w:val="left"/>
            </w:pPr>
            <w:r>
              <w:t xml:space="preserve">Responsabilidades objeto del contrato del rol, proyecto JEP.</w:t>
            </w:r>
          </w:p>
        </w:tc>
      </w:tr>
    </w:tbl>
    <w:bookmarkEnd w:id="31"/>
    <w:p>
      <w:pPr>
        <w:pStyle w:val="BodyText"/>
      </w:pPr>
    </w:p>
    <w:bookmarkEnd w:id="32"/>
    <w:bookmarkEnd w:id="33"/>
    <w:bookmarkEnd w:id="34"/>
    <w:bookmarkStart w:id="42" w:name="sec:gestión-de-trabajo-del-proyecto"/>
    <w:p>
      <w:pPr>
        <w:pStyle w:val="Heading1"/>
      </w:pPr>
      <w:r>
        <w:t xml:space="preserve">Gestión de Trabajo del Proyecto</w:t>
      </w:r>
    </w:p>
    <w:bookmarkStart w:id="41" w:name="X7fdd3a9813758b04d1794f7377a31400b0da081"/>
    <w:p>
      <w:pPr>
        <w:pStyle w:val="Heading2"/>
      </w:pPr>
      <w:r>
        <w:t xml:space="preserve">Modelo de Gestión de Requerimientos de Integración</w:t>
      </w:r>
    </w:p>
    <w:p>
      <w:pPr>
        <w:pStyle w:val="BlockText"/>
      </w:pPr>
      <w:r>
        <w:t xml:space="preserve">Modelo de Implementación Proyecto JEP, 2024. Softgic. Propuesta modelo de gestión y atención requerimientos de integración del proyecto de servicios de integración JEP. Ver 0.1.37</w:t>
      </w:r>
    </w:p>
    <w:p>
      <w:pPr>
        <w:pStyle w:val="FirstParagraph"/>
      </w:pPr>
    </w:p>
    <w:p>
      <w:pPr>
        <w:pStyle w:val="BodyText"/>
      </w:pPr>
      <w:r>
        <w:t xml:space="preserve">El ciclo de entrega de requerimientos inicia con la planeación macro de los objetivos entregables del proyecto de integración organizados en el tiempo (de septiembre a diciembre del 2024).</w:t>
      </w:r>
    </w:p>
    <w:p>
      <w:pPr>
        <w:pStyle w:val="BodyText"/>
      </w:pPr>
      <w:r>
        <w:t xml:space="preserve">Los roles técnicos convierten estos objetivos macro en requerimientos comprendidos por épicas, características e historias (o casos de uso) de integración.</w:t>
      </w:r>
    </w:p>
    <w:p>
      <w:pPr>
        <w:pStyle w:val="BodyText"/>
      </w:pPr>
      <w:r>
        <w:t xml:space="preserve">Los ingenieros convierten a su vez las historias en tareas entregables, individuales y autónomas, de tipo tarea (UT), diseño (DIS), pruebas de calidad (QA), análisis (AN), entrega continua (CI/CD), etc. Una vez los ingenieros tengan esta división de trabajo en tareas pueden pasar a la implementación mediante iteraciones (ver Modelo de Implementación del Proyecto JEP).</w:t>
      </w:r>
    </w:p>
    <w:p>
      <w:pPr>
        <w:pStyle w:val="BodyText"/>
      </w:pPr>
      <w:r>
        <w:t xml:space="preserve">Los requerimientos del proyecto JEP son procesados mediante el modelo de producción descrito más adelante.</w:t>
      </w:r>
    </w:p>
    <w:p>
      <w:pPr>
        <w:pStyle w:val="CaptionedFigure"/>
      </w:pPr>
      <w:r>
        <w:drawing>
          <wp:inline>
            <wp:extent cx="5207000" cy="3990146"/>
            <wp:effectExtent b="0" l="0" r="0" t="0"/>
            <wp:docPr descr="04.ING.2n.1a. Modelo requerimientos. Fuente: Repositorio arquitectura Integración JEP (2024)" title="" id="36" name="Picture"/>
            <a:graphic>
              <a:graphicData uri="http://schemas.openxmlformats.org/drawingml/2006/picture">
                <pic:pic>
                  <pic:nvPicPr>
                    <pic:cNvPr descr="images/04.ING.2n.1a.Modelorequerimientos.png" id="37" name="Picture"/>
                    <pic:cNvPicPr>
                      <a:picLocks noChangeArrowheads="1" noChangeAspect="1"/>
                    </pic:cNvPicPr>
                  </pic:nvPicPr>
                  <pic:blipFill>
                    <a:blip r:embed="rId35"/>
                    <a:stretch>
                      <a:fillRect/>
                    </a:stretch>
                  </pic:blipFill>
                  <pic:spPr bwMode="auto">
                    <a:xfrm>
                      <a:off x="0" y="0"/>
                      <a:ext cx="5207000" cy="3990146"/>
                    </a:xfrm>
                    <a:prstGeom prst="rect">
                      <a:avLst/>
                    </a:prstGeom>
                    <a:noFill/>
                    <a:ln w="9525">
                      <a:noFill/>
                      <a:headEnd/>
                      <a:tailEnd/>
                    </a:ln>
                  </pic:spPr>
                </pic:pic>
              </a:graphicData>
            </a:graphic>
          </wp:inline>
        </w:drawing>
      </w:r>
    </w:p>
    <w:p>
      <w:pPr>
        <w:pStyle w:val="ImageCaption"/>
      </w:pPr>
      <w:r>
        <w:t xml:space="preserve">Figura 2: 04.ING.2n.1a. Modelo requerimientos.</w:t>
      </w:r>
      <w:r>
        <w:t xml:space="preserve"> </w:t>
      </w:r>
      <w:r>
        <w:rPr>
          <w:iCs/>
          <w:i/>
        </w:rPr>
        <w:t xml:space="preserve">Fuente: Repositorio arquitectura Integración JEP (2024)</w:t>
      </w:r>
    </w:p>
    <w:bookmarkStart w:id="38" w:name="sec:catálogo-de-elementos-1"/>
    <w:p>
      <w:pPr>
        <w:pStyle w:val="Heading3"/>
      </w:pPr>
      <w:r>
        <w:t xml:space="preserve">Catálogo de Elementos</w:t>
      </w:r>
    </w:p>
    <w:p>
      <w:pPr>
        <w:numPr>
          <w:ilvl w:val="0"/>
          <w:numId w:val="1005"/>
        </w:numPr>
      </w:pPr>
      <w:r>
        <w:rPr>
          <w:bCs/>
          <w:b/>
        </w:rPr>
        <w:t xml:space="preserve">ACC01. Planeación de Producción, Oct-Dic 2024</w:t>
      </w:r>
      <w:r>
        <w:t xml:space="preserve">. Objetivos y entregas en el tiempo, versiones de entrega del proyecto de integración.</w:t>
      </w:r>
    </w:p>
    <w:p>
      <w:pPr>
        <w:numPr>
          <w:ilvl w:val="0"/>
          <w:numId w:val="1005"/>
        </w:numPr>
      </w:pPr>
      <w:r>
        <w:rPr>
          <w:bCs/>
          <w:b/>
        </w:rPr>
        <w:t xml:space="preserve">ANLS.Analisis integración</w:t>
      </w:r>
      <w:r>
        <w:t xml:space="preserve">. ### 2. ANSS (análisis).</w:t>
      </w:r>
    </w:p>
    <w:p>
      <w:pPr>
        <w:numPr>
          <w:ilvl w:val="0"/>
          <w:numId w:val="1005"/>
        </w:numPr>
      </w:pPr>
      <w:r>
        <w:t xml:space="preserve">Scrum, Funcional, Dueño producto cliente (requiere conocimiento del negocio).</w:t>
      </w:r>
    </w:p>
    <w:p>
      <w:pPr>
        <w:numPr>
          <w:ilvl w:val="0"/>
          <w:numId w:val="1005"/>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38"/>
    <w:bookmarkStart w:id="39" w:name="sec:salidas"/>
    <w:p>
      <w:pPr>
        <w:pStyle w:val="Heading3"/>
      </w:pPr>
      <w:r>
        <w:t xml:space="preserve">Salidas</w:t>
      </w:r>
    </w:p>
    <w:p>
      <w:pPr>
        <w:numPr>
          <w:ilvl w:val="0"/>
          <w:numId w:val="1006"/>
        </w:numPr>
        <w:pStyle w:val="Compact"/>
      </w:pPr>
      <w:r>
        <w:t xml:space="preserve">Modelo de negocio en el repo</w:t>
      </w:r>
    </w:p>
    <w:p>
      <w:pPr>
        <w:numPr>
          <w:ilvl w:val="0"/>
          <w:numId w:val="1006"/>
        </w:numPr>
        <w:pStyle w:val="Compact"/>
      </w:pPr>
      <w:r>
        <w:t xml:space="preserve">Estimación –puede en devops</w:t>
      </w:r>
    </w:p>
    <w:p>
      <w:pPr>
        <w:numPr>
          <w:ilvl w:val="0"/>
          <w:numId w:val="1006"/>
        </w:numPr>
        <w:pStyle w:val="Compact"/>
      </w:pPr>
      <w:r>
        <w:t xml:space="preserve">Análisis de dependencia en el repo</w:t>
      </w:r>
    </w:p>
    <w:bookmarkEnd w:id="39"/>
    <w:bookmarkStart w:id="40" w:name="sec:kpi"/>
    <w:p>
      <w:pPr>
        <w:pStyle w:val="Heading3"/>
      </w:pPr>
      <w:r>
        <w:t xml:space="preserve">KPI</w:t>
      </w:r>
    </w:p>
    <w:p>
      <w:pPr>
        <w:numPr>
          <w:ilvl w:val="0"/>
          <w:numId w:val="1007"/>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7"/>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07"/>
        </w:numPr>
      </w:pPr>
      <w:r>
        <w:rPr>
          <w:bCs/>
          <w:b/>
        </w:rPr>
        <w:t xml:space="preserve">CI/CD</w:t>
      </w:r>
      <w:r>
        <w:t xml:space="preserve">. Actividades DevOps del ciclo o iteración de implementación.</w:t>
      </w:r>
    </w:p>
    <w:p>
      <w:pPr>
        <w:numPr>
          <w:ilvl w:val="0"/>
          <w:numId w:val="1007"/>
        </w:numPr>
      </w:pPr>
      <w:r>
        <w:rPr>
          <w:bCs/>
          <w:b/>
        </w:rPr>
        <w:t xml:space="preserve">DEV</w:t>
      </w:r>
      <w:r>
        <w:t xml:space="preserve">. Alcance de QA unitaria</w:t>
      </w:r>
    </w:p>
    <w:p>
      <w:pPr>
        <w:numPr>
          <w:ilvl w:val="0"/>
          <w:numId w:val="1007"/>
        </w:numPr>
      </w:pPr>
      <w:r>
        <w:rPr>
          <w:bCs/>
          <w:b/>
        </w:rPr>
        <w:t xml:space="preserve">DEV.Implementación</w:t>
      </w:r>
      <w:r>
        <w:t xml:space="preserve">. ### KPI</w:t>
      </w:r>
    </w:p>
    <w:p>
      <w:pPr>
        <w:numPr>
          <w:ilvl w:val="0"/>
          <w:numId w:val="1007"/>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7"/>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7"/>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7"/>
        </w:numPr>
      </w:pPr>
      <w:r>
        <w:rPr>
          <w:bCs/>
          <w:b/>
        </w:rPr>
        <w:t xml:space="preserve">DIS.Arquitectura / diseño</w:t>
      </w:r>
      <w:r>
        <w:t xml:space="preserve">. ### KPI</w:t>
      </w:r>
    </w:p>
    <w:p>
      <w:pPr>
        <w:numPr>
          <w:ilvl w:val="0"/>
          <w:numId w:val="1007"/>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07"/>
        </w:numPr>
      </w:pPr>
      <w:r>
        <w:rPr>
          <w:bCs/>
          <w:b/>
        </w:rPr>
        <w:t xml:space="preserve">MET.APRB</w:t>
      </w:r>
      <w:r>
        <w:t xml:space="preserve">.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7"/>
        </w:numPr>
      </w:pPr>
      <w:r>
        <w:rPr>
          <w:bCs/>
          <w:b/>
        </w:rPr>
        <w:t xml:space="preserve">MET.DEC</w:t>
      </w:r>
      <w:r>
        <w:t xml:space="preserve">.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7"/>
        </w:numPr>
      </w:pPr>
      <w:r>
        <w:rPr>
          <w:bCs/>
          <w:b/>
        </w:rPr>
        <w:t xml:space="preserve">MET.VEL</w:t>
      </w:r>
      <w:r>
        <w:t xml:space="preserve">.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07"/>
        </w:numPr>
      </w:pPr>
      <w:r>
        <w:rPr>
          <w:bCs/>
          <w:b/>
        </w:rPr>
        <w:t xml:space="preserve">UT (tarea)</w:t>
      </w:r>
      <w:r>
        <w:t xml:space="preserve">. Unidad mínima de trabajo (tarea por desarrollador).</w:t>
      </w:r>
    </w:p>
    <w:bookmarkEnd w:id="40"/>
    <w:bookmarkEnd w:id="41"/>
    <w:bookmarkEnd w:id="42"/>
    <w:bookmarkStart w:id="51" w:name="X326846961460e83c41309a5496c2a3d161f1329"/>
    <w:p>
      <w:pPr>
        <w:pStyle w:val="Heading1"/>
      </w:pPr>
      <w:r>
        <w:t xml:space="preserve">Modelo de Producción e Implementación</w:t>
      </w:r>
    </w:p>
    <w:bookmarkStart w:id="50" w:name="Xf0d2ab596fd4745286d92711446acff29e2c17d"/>
    <w:p>
      <w:pPr>
        <w:pStyle w:val="Heading2"/>
      </w:pPr>
      <w:r>
        <w:t xml:space="preserve">Modelo de Producción e Implementación de Integración JEP</w:t>
      </w:r>
    </w:p>
    <w:p>
      <w:pPr>
        <w:pStyle w:val="BlockText"/>
      </w:pPr>
      <w:r>
        <w:t xml:space="preserve">Modelo de Producción e Implementación Proyecto JEP, 2024. Softgic. Modelo de gestión y atención requerimientos de integración del proyecto de integración JEP, 2024. Softgic. Relación con herramienta de gestión Az DevOps. Ver 0.1.12</w:t>
      </w:r>
    </w:p>
    <w:p>
      <w:pPr>
        <w:pStyle w:val="FirstParagraph"/>
      </w:pPr>
    </w:p>
    <w:p>
      <w:pPr>
        <w:pStyle w:val="BodyText"/>
      </w:pP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implementación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Start w:id="46" w:name="Xc7602b92d361107e125a67412cf614997a1d27a"/>
    <w:p>
      <w:pPr>
        <w:pStyle w:val="Heading3"/>
      </w:pPr>
      <w:r>
        <w:t xml:space="preserve">Mapeo del Modelo con Herramienta de Registro del Trabajo (az devops)</w:t>
      </w:r>
    </w:p>
    <w:p>
      <w:pPr>
        <w:numPr>
          <w:ilvl w:val="0"/>
          <w:numId w:val="1008"/>
        </w:numPr>
        <w:pStyle w:val="Compact"/>
      </w:pPr>
      <w:r>
        <w:t xml:space="preserve">Épica = Versión de entrega de la solución como un todo</w:t>
      </w:r>
    </w:p>
    <w:p>
      <w:pPr>
        <w:numPr>
          <w:ilvl w:val="0"/>
          <w:numId w:val="1008"/>
        </w:numPr>
        <w:pStyle w:val="Compact"/>
      </w:pPr>
      <w:r>
        <w:t xml:space="preserve">Característica = Requerimiento de integración, del cual pueden desprenderse varias integraciones puntuales.</w:t>
      </w:r>
    </w:p>
    <w:p>
      <w:pPr>
        <w:numPr>
          <w:ilvl w:val="0"/>
          <w:numId w:val="1008"/>
        </w:numPr>
        <w:pStyle w:val="Compact"/>
      </w:pPr>
      <w:r>
        <w:t xml:space="preserve">HU = Una integración puntual proveniente de un requerimiento, ej.: ingreso Conti, Consulta campos, Radicar ítem, Generación documentos…</w:t>
      </w:r>
    </w:p>
    <w:p>
      <w:pPr>
        <w:numPr>
          <w:ilvl w:val="0"/>
          <w:numId w:val="1008"/>
        </w:numPr>
        <w:pStyle w:val="Compact"/>
      </w:pPr>
      <w:r>
        <w:t xml:space="preserve">UT = Tarea de desarrollo.</w:t>
      </w:r>
    </w:p>
    <w:p>
      <w:pPr>
        <w:pStyle w:val="CaptionedFigure"/>
      </w:pPr>
      <w:r>
        <w:drawing>
          <wp:inline>
            <wp:extent cx="5207000" cy="3519815"/>
            <wp:effectExtent b="0" l="0" r="0" t="0"/>
            <wp:docPr descr="04.ING.2n.1b. Modelo producción. Fuente: Repositorio arquitectura Integración JEP (2024)" title="" id="44" name="Picture"/>
            <a:graphic>
              <a:graphicData uri="http://schemas.openxmlformats.org/drawingml/2006/picture">
                <pic:pic>
                  <pic:nvPicPr>
                    <pic:cNvPr descr="images/04.ING.2n.1b.Modeloproducción.png" id="45" name="Picture"/>
                    <pic:cNvPicPr>
                      <a:picLocks noChangeArrowheads="1" noChangeAspect="1"/>
                    </pic:cNvPicPr>
                  </pic:nvPicPr>
                  <pic:blipFill>
                    <a:blip r:embed="rId43"/>
                    <a:stretch>
                      <a:fillRect/>
                    </a:stretch>
                  </pic:blipFill>
                  <pic:spPr bwMode="auto">
                    <a:xfrm>
                      <a:off x="0" y="0"/>
                      <a:ext cx="5207000" cy="3519815"/>
                    </a:xfrm>
                    <a:prstGeom prst="rect">
                      <a:avLst/>
                    </a:prstGeom>
                    <a:noFill/>
                    <a:ln w="9525">
                      <a:noFill/>
                      <a:headEnd/>
                      <a:tailEnd/>
                    </a:ln>
                  </pic:spPr>
                </pic:pic>
              </a:graphicData>
            </a:graphic>
          </wp:inline>
        </w:drawing>
      </w:r>
    </w:p>
    <w:p>
      <w:pPr>
        <w:pStyle w:val="ImageCaption"/>
      </w:pPr>
      <w:r>
        <w:t xml:space="preserve">Figura 3: 04.ING.2n.1b. Modelo producción.</w:t>
      </w:r>
      <w:r>
        <w:t xml:space="preserve"> </w:t>
      </w:r>
      <w:r>
        <w:rPr>
          <w:iCs/>
          <w:i/>
        </w:rPr>
        <w:t xml:space="preserve">Fuente: Repositorio arquitectura Integración JEP (2024)</w:t>
      </w:r>
    </w:p>
    <w:bookmarkEnd w:id="46"/>
    <w:bookmarkStart w:id="47" w:name="sec:catálogo-de-elementos-2"/>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ACC01. Planeación de Producción, Oct-Dic 2024</w:t>
            </w:r>
          </w:p>
        </w:tc>
        <w:tc>
          <w:tcPr/>
          <w:p>
            <w:pPr>
              <w:pStyle w:val="Compact"/>
              <w:jc w:val="left"/>
            </w:pPr>
            <w:r>
              <w:t xml:space="preserve">Course Of-Action</w:t>
            </w:r>
          </w:p>
        </w:tc>
        <w:tc>
          <w:tcPr/>
          <w:p>
            <w:pPr>
              <w:pStyle w:val="Compact"/>
              <w:jc w:val="left"/>
            </w:pPr>
            <w:r>
              <w:t xml:space="preserve">Objetivos y entregas en el tiempo, versiones de entrega del proyecto de integración.</w:t>
            </w:r>
          </w:p>
        </w:tc>
      </w:tr>
      <w:tr>
        <w:tc>
          <w:tcPr/>
          <w:p>
            <w:pPr>
              <w:pStyle w:val="Compact"/>
            </w:pPr>
          </w:p>
        </w:tc>
        <w:tc>
          <w:tcPr/>
          <w:p>
            <w:pPr>
              <w:pStyle w:val="Compact"/>
            </w:pPr>
          </w:p>
        </w:tc>
        <w:tc>
          <w:tcPr/>
          <w:p>
            <w:pPr>
              <w:pStyle w:val="Compact"/>
            </w:pPr>
          </w:p>
        </w:tc>
      </w:tr>
      <w:tr>
        <w:tc>
          <w:tcPr/>
          <w:p>
            <w:pPr>
              <w:pStyle w:val="Compact"/>
              <w:jc w:val="left"/>
            </w:pPr>
            <w:r>
              <w:t xml:space="preserve">ANLS.Analisis integración</w:t>
            </w:r>
          </w:p>
        </w:tc>
        <w:tc>
          <w:tcPr/>
          <w:p>
            <w:pPr>
              <w:pStyle w:val="Compact"/>
              <w:jc w:val="left"/>
            </w:pPr>
            <w:r>
              <w:t xml:space="preserve">Business Process</w:t>
            </w:r>
          </w:p>
        </w:tc>
        <w:tc>
          <w:tcPr/>
          <w:p>
            <w:pPr>
              <w:pStyle w:val="Compact"/>
              <w:jc w:val="left"/>
            </w:pPr>
            <w:r>
              <w:t xml:space="preserve">### 2. ANSS (análisis).</w:t>
            </w:r>
          </w:p>
        </w:tc>
      </w:tr>
    </w:tbl>
    <w:p>
      <w:pPr>
        <w:numPr>
          <w:ilvl w:val="0"/>
          <w:numId w:val="1009"/>
        </w:numPr>
        <w:pStyle w:val="Compact"/>
      </w:pPr>
      <w:r>
        <w:t xml:space="preserve">Scrum, Funcional, Dueño producto cliente (requiere conocimiento del negocio).</w:t>
      </w:r>
    </w:p>
    <w:p>
      <w:pPr>
        <w:numPr>
          <w:ilvl w:val="0"/>
          <w:numId w:val="1009"/>
        </w:numPr>
        <w:pStyle w:val="Compact"/>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47"/>
    <w:bookmarkStart w:id="48" w:name="sec:salidas-1"/>
    <w:p>
      <w:pPr>
        <w:pStyle w:val="Heading3"/>
      </w:pPr>
      <w:r>
        <w:t xml:space="preserve">Salidas</w:t>
      </w:r>
    </w:p>
    <w:p>
      <w:pPr>
        <w:numPr>
          <w:ilvl w:val="0"/>
          <w:numId w:val="1010"/>
        </w:numPr>
        <w:pStyle w:val="Compact"/>
      </w:pPr>
      <w:r>
        <w:t xml:space="preserve">Modelo de negocio en el repo</w:t>
      </w:r>
    </w:p>
    <w:p>
      <w:pPr>
        <w:numPr>
          <w:ilvl w:val="0"/>
          <w:numId w:val="1010"/>
        </w:numPr>
        <w:pStyle w:val="Compact"/>
      </w:pPr>
      <w:r>
        <w:t xml:space="preserve">Estimación –puede en devops</w:t>
      </w:r>
    </w:p>
    <w:p>
      <w:pPr>
        <w:numPr>
          <w:ilvl w:val="0"/>
          <w:numId w:val="1010"/>
        </w:numPr>
        <w:pStyle w:val="Compact"/>
      </w:pPr>
      <w:r>
        <w:t xml:space="preserve">Análisis de dependencia en el repo</w:t>
      </w:r>
    </w:p>
    <w:bookmarkEnd w:id="48"/>
    <w:bookmarkStart w:id="49" w:name="sec:kpi-1"/>
    <w:p>
      <w:pPr>
        <w:pStyle w:val="Heading3"/>
      </w:pPr>
      <w:r>
        <w:t xml:space="preserve">KPI</w:t>
      </w:r>
    </w:p>
    <w:p>
      <w:pPr>
        <w:numPr>
          <w:ilvl w:val="0"/>
          <w:numId w:val="1011"/>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11"/>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r>
        <w:t xml:space="preserve"> </w:t>
      </w:r>
      <w:r>
        <w:t xml:space="preserve">|</w:t>
      </w:r>
      <w:r>
        <w:t xml:space="preserve"> </w:t>
      </w:r>
      <w:r>
        <w:t xml:space="preserve">| CI/CD | Work Package | Actividades DevOps del ciclo o iteración de implementación. |</w:t>
      </w:r>
      <w:r>
        <w:t xml:space="preserve"> </w:t>
      </w:r>
      <w:r>
        <w:t xml:space="preserve">| DEV | Work Package | Alcance de QA unitaria</w:t>
      </w:r>
      <w:r>
        <w:t xml:space="preserve"> </w:t>
      </w:r>
      <w:r>
        <w:t xml:space="preserve">|</w:t>
      </w:r>
      <w:r>
        <w:t xml:space="preserve"> </w:t>
      </w:r>
      <w:r>
        <w:t xml:space="preserve">| DEV | Work Package | Alcance de QA unitaria</w:t>
      </w:r>
      <w:r>
        <w:t xml:space="preserve"> </w:t>
      </w:r>
      <w:r>
        <w:t xml:space="preserve">|</w:t>
      </w:r>
      <w:r>
        <w:t xml:space="preserve"> </w:t>
      </w:r>
      <w:r>
        <w:t xml:space="preserve">| DEV.Implementación | Business Process | ### KPI</w:t>
      </w:r>
    </w:p>
    <w:p>
      <w:pPr>
        <w:numPr>
          <w:ilvl w:val="0"/>
          <w:numId w:val="1011"/>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11"/>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11"/>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r>
        <w:t xml:space="preserve"> </w:t>
      </w:r>
      <w:r>
        <w:t xml:space="preserve">|</w:t>
      </w:r>
      <w:r>
        <w:t xml:space="preserve"> </w:t>
      </w:r>
      <w:r>
        <w:t xml:space="preserve">| DIS.Arquitectura / diseño | Business Process | ### KPI</w:t>
      </w:r>
    </w:p>
    <w:p>
      <w:pPr>
        <w:numPr>
          <w:ilvl w:val="0"/>
          <w:numId w:val="1011"/>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r>
        <w:t xml:space="preserve"> </w:t>
      </w:r>
      <w:r>
        <w:t xml:space="preserve">|</w:t>
      </w:r>
      <w:r>
        <w:t xml:space="preserve"> </w:t>
      </w:r>
      <w:r>
        <w:t xml:space="preserve">| MET.APRB | Business Object |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r>
        <w:t xml:space="preserve"> </w:t>
      </w:r>
      <w:r>
        <w:t xml:space="preserve">|</w:t>
      </w:r>
      <w:r>
        <w:t xml:space="preserve"> </w:t>
      </w:r>
      <w:r>
        <w:t xml:space="preserve">| MET.DEC | Business Object |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pStyle w:val="FirstParagraph"/>
      </w:pPr>
      <w:r>
        <w:t xml:space="preserve">|</w:t>
      </w:r>
      <w:r>
        <w:t xml:space="preserve"> </w:t>
      </w:r>
      <w:r>
        <w:t xml:space="preserve">| MET.VEL | Business Object |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r>
        <w:t xml:space="preserve"> </w:t>
      </w:r>
      <w:r>
        <w:t xml:space="preserve">|</w:t>
      </w:r>
      <w:r>
        <w:t xml:space="preserve"> </w:t>
      </w:r>
      <w:r>
        <w:t xml:space="preserve">| UT (tarea) | Work Package | Unidad mínima de trabajo (tarea por desarrollador).</w:t>
      </w:r>
      <w:r>
        <w:t xml:space="preserve"> </w:t>
      </w:r>
      <w:r>
        <w:t xml:space="preserve">|</w:t>
      </w:r>
    </w:p>
    <w:p>
      <w:pPr>
        <w:pStyle w:val="BodyText"/>
      </w:pPr>
      <w:r>
        <w:t xml:space="preserve">Table: Elementos de la vista. {#tbl:tblelement-04.ING.2n.1b.Modeloproducción-id}</w:t>
      </w:r>
    </w:p>
    <w:p>
      <w:pPr>
        <w:pStyle w:val="BodyText"/>
      </w:pPr>
    </w:p>
    <w:bookmarkEnd w:id="49"/>
    <w:bookmarkEnd w:id="50"/>
    <w:bookmarkEnd w:id="51"/>
    <w:bookmarkStart w:id="69" w:name="X9e7f53aaf20e4f6d6db0d5f8753180b658170a4"/>
    <w:p>
      <w:pPr>
        <w:pStyle w:val="Heading1"/>
      </w:pPr>
      <w:r>
        <w:t xml:space="preserve">Modelo de Solución de Interoperabilidad</w:t>
      </w:r>
    </w:p>
    <w:bookmarkStart w:id="52" w:name="sec:modelo-de-interoperabilidad-jep"/>
    <w:p>
      <w:pPr>
        <w:pStyle w:val="Heading2"/>
      </w:pPr>
      <w:r>
        <w:t xml:space="preserve">Modelo de Interoperabilidad JEP</w:t>
      </w:r>
    </w:p>
    <w:p>
      <w:pPr>
        <w:pStyle w:val="BlockText"/>
      </w:pPr>
      <w:r>
        <w:t xml:space="preserve">Modelo de Integración. Proyecto JEP, 2024. Softgic. Capacidades del modelo de integración para la implementación de requerimientos de interoperabilidad del proyecto Integración JEP, 2024. Ver 0.2.44</w:t>
      </w:r>
    </w:p>
    <w:p>
      <w:pPr>
        <w:pStyle w:val="FirstParagraph"/>
      </w:pPr>
    </w:p>
    <w:p>
      <w:pPr>
        <w:pStyle w:val="BodyText"/>
      </w:pPr>
      <w:r>
        <w:t xml:space="preserve">El presente modelo de solución de interoperabilidad JEP, 2024, en desarrollo por Softgic, expone para aprobación y referencia las decisiones de la solución de integración y las restricciones que la rigen. Una vez revisado y aprobado por parte de JEP el modelo de interoperabilidad será referencia para la gestión del proyecto y de los entregables de esta solución.</w:t>
      </w:r>
    </w:p>
    <w:bookmarkEnd w:id="52"/>
    <w:bookmarkStart w:id="58" w:name="X7752beff684c0c0a58edbbc33ab6dc8269656ef"/>
    <w:p>
      <w:pPr>
        <w:pStyle w:val="Heading2"/>
      </w:pPr>
      <w:r>
        <w:t xml:space="preserve">Características Principales del Modelo de Integración JEP</w:t>
      </w:r>
    </w:p>
    <w:p>
      <w:pPr>
        <w:numPr>
          <w:ilvl w:val="0"/>
          <w:numId w:val="1012"/>
        </w:numPr>
        <w:pStyle w:val="Compact"/>
      </w:pPr>
      <w:r>
        <w:t xml:space="preserve">API de integración</w:t>
      </w:r>
    </w:p>
    <w:p>
      <w:pPr>
        <w:numPr>
          <w:ilvl w:val="0"/>
          <w:numId w:val="1012"/>
        </w:numPr>
        <w:pStyle w:val="Compact"/>
      </w:pPr>
      <w:r>
        <w:t xml:space="preserve">Patrones de integración empresarial (EIP)</w:t>
      </w:r>
    </w:p>
    <w:p>
      <w:pPr>
        <w:numPr>
          <w:ilvl w:val="0"/>
          <w:numId w:val="1012"/>
        </w:numPr>
        <w:pStyle w:val="Compact"/>
      </w:pPr>
      <w:r>
        <w:t xml:space="preserve">Sistema de Mensajería entre servicios de integración y aplicaciones JEP</w:t>
      </w:r>
    </w:p>
    <w:p>
      <w:pPr>
        <w:numPr>
          <w:ilvl w:val="0"/>
          <w:numId w:val="1012"/>
        </w:numPr>
        <w:pStyle w:val="Compact"/>
      </w:pPr>
      <w:r>
        <w:t xml:space="preserve">Flujos de datos para integración</w:t>
      </w:r>
    </w:p>
    <w:p>
      <w:pPr>
        <w:numPr>
          <w:ilvl w:val="0"/>
          <w:numId w:val="1012"/>
        </w:numPr>
        <w:pStyle w:val="Compact"/>
      </w:pPr>
      <w:r>
        <w:t xml:space="preserve">Arquitectura de clusters y contenedores para integración</w:t>
      </w:r>
    </w:p>
    <w:p>
      <w:pPr>
        <w:numPr>
          <w:ilvl w:val="0"/>
          <w:numId w:val="1012"/>
        </w:numPr>
        <w:pStyle w:val="Compact"/>
      </w:pPr>
      <w:r>
        <w:t xml:space="preserve">Uso de infraestructura tecnológica JEP</w:t>
      </w:r>
    </w:p>
    <w:p>
      <w:pPr>
        <w:numPr>
          <w:ilvl w:val="0"/>
          <w:numId w:val="1012"/>
        </w:numPr>
        <w:pStyle w:val="Compact"/>
      </w:pPr>
      <w:r>
        <w:t xml:space="preserve">Articulación con el Service Mesh de JEP</w:t>
      </w:r>
    </w:p>
    <w:p>
      <w:pPr>
        <w:pStyle w:val="CaptionedFigure"/>
      </w:pPr>
      <w:r>
        <w:drawing>
          <wp:inline>
            <wp:extent cx="5207000" cy="2976982"/>
            <wp:effectExtent b="0" l="0" r="0" t="0"/>
            <wp:docPr descr="04.ING.3n.1. Modelo de Interoperabilidad JEP. Fuente: Repositorio arquitectura Integración JEP (2024)" title="" id="54" name="Picture"/>
            <a:graphic>
              <a:graphicData uri="http://schemas.openxmlformats.org/drawingml/2006/picture">
                <pic:pic>
                  <pic:nvPicPr>
                    <pic:cNvPr descr="images/04.ING.3n.1.ModelodeInteroperabilidadJEP.png" id="55" name="Picture"/>
                    <pic:cNvPicPr>
                      <a:picLocks noChangeArrowheads="1" noChangeAspect="1"/>
                    </pic:cNvPicPr>
                  </pic:nvPicPr>
                  <pic:blipFill>
                    <a:blip r:embed="rId53"/>
                    <a:stretch>
                      <a:fillRect/>
                    </a:stretch>
                  </pic:blipFill>
                  <pic:spPr bwMode="auto">
                    <a:xfrm>
                      <a:off x="0" y="0"/>
                      <a:ext cx="5207000" cy="2976982"/>
                    </a:xfrm>
                    <a:prstGeom prst="rect">
                      <a:avLst/>
                    </a:prstGeom>
                    <a:noFill/>
                    <a:ln w="9525">
                      <a:noFill/>
                      <a:headEnd/>
                      <a:tailEnd/>
                    </a:ln>
                  </pic:spPr>
                </pic:pic>
              </a:graphicData>
            </a:graphic>
          </wp:inline>
        </w:drawing>
      </w:r>
    </w:p>
    <w:p>
      <w:pPr>
        <w:pStyle w:val="ImageCaption"/>
      </w:pPr>
      <w:r>
        <w:t xml:space="preserve">Figura 4: 04.ING.3n.1. Modelo de Interoperabilidad JEP.</w:t>
      </w:r>
      <w:r>
        <w:t xml:space="preserve"> </w:t>
      </w:r>
      <w:r>
        <w:rPr>
          <w:iCs/>
          <w:i/>
        </w:rPr>
        <w:t xml:space="preserve">Fuente: Repositorio arquitectura Integración JEP (2024)</w:t>
      </w:r>
    </w:p>
    <w:bookmarkStart w:id="57" w:name="sec:catálogo-de-elementos-3"/>
    <w:p>
      <w:pPr>
        <w:pStyle w:val="Heading3"/>
      </w:pPr>
      <w:r>
        <w:t xml:space="preserve">Catálogo de Elementos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Alcance Proyecto Integración</w:t>
            </w:r>
          </w:p>
        </w:tc>
        <w:tc>
          <w:tcPr/>
          <w:p>
            <w:pPr>
              <w:pStyle w:val="Compact"/>
              <w:jc w:val="left"/>
            </w:pPr>
            <w:r>
              <w:t xml:space="preserve">Goal</w:t>
            </w:r>
          </w:p>
        </w:tc>
        <w:tc>
          <w:tcPr/>
          <w:p>
            <w:pPr>
              <w:pStyle w:val="Compact"/>
              <w:jc w:val="left"/>
            </w:pPr>
            <w:r>
              <w:t xml:space="preserve">Es del alcance del proyecto</w:t>
            </w:r>
          </w:p>
        </w:tc>
      </w:tr>
    </w:tbl>
    <w:p>
      <w:pPr>
        <w:numPr>
          <w:ilvl w:val="0"/>
          <w:numId w:val="1013"/>
        </w:numPr>
        <w:pStyle w:val="Compact"/>
      </w:pPr>
      <w:r>
        <w:t xml:space="preserve">Implementación de 20 o más servicios de integración al 31 de diciembre del 2024.</w:t>
      </w:r>
    </w:p>
    <w:p>
      <w:pPr>
        <w:numPr>
          <w:ilvl w:val="0"/>
          <w:numId w:val="1013"/>
        </w:numPr>
        <w:pStyle w:val="Compact"/>
      </w:pPr>
      <w:r>
        <w:t xml:space="preserve">Soporte solución de integración a julio 2025.</w:t>
      </w:r>
    </w:p>
    <w:p>
      <w:pPr>
        <w:pStyle w:val="FirstParagraph"/>
      </w:pPr>
      <w:r>
        <w:t xml:space="preserve">No es del alcance del proyecto el desarrollo a la medida de soluciones de las aplicaciones y sistemas de software de la JEP.</w:t>
      </w:r>
    </w:p>
    <w:p>
      <w:pPr>
        <w:pStyle w:val="BodyText"/>
      </w:pPr>
      <w:r>
        <w:t xml:space="preserve">No es del alcance de este proyecto los requerimientos de migración de los servicios de integración existentes de la JEP (hayan sido o no implementados bajo el modelo integración directa –EIA).</w:t>
      </w:r>
    </w:p>
    <w:p>
      <w:pPr>
        <w:pStyle w:val="BodyText"/>
      </w:pPr>
      <w:r>
        <w:t xml:space="preserve">|</w:t>
      </w:r>
      <w:r>
        <w:t xml:space="preserve"> </w:t>
      </w:r>
      <w:r>
        <w:t xml:space="preserve">| Ambientes y Herramientas | Capability | Esta solución de interoperabilidad usa las herramientas, librerías, ambientes, infraestructura productivo y no productivos (nodos, redes, almacenamientos, y otros) indicados por la JEP.</w:t>
      </w:r>
      <w:r>
        <w:t xml:space="preserve"> </w:t>
      </w:r>
      <w:r>
        <w:t xml:space="preserve">|</w:t>
      </w:r>
      <w:r>
        <w:t xml:space="preserve"> </w:t>
      </w:r>
      <w:r>
        <w:t xml:space="preserve">| Composición de Servicios | Capability | Combina colección de servicios para formar un servicio completo. Mediante la integración basada en patrones de Camel, define funciones mediante la recopilación de datos de múltiples conexiones (endpoint). Las composiciones suelen resolver integraciones no triviales o complejas.</w:t>
      </w:r>
      <w:r>
        <w:t xml:space="preserve"> </w:t>
      </w:r>
      <w:r>
        <w:t xml:space="preserve">|</w:t>
      </w:r>
      <w:r>
        <w:t xml:space="preserve"> </w:t>
      </w:r>
      <w:r>
        <w:t xml:space="preserve">| Condiciones generales del proyecto | Constraint | Son condiciones generales de la solución aquellas que inciden en la gestión del proyecto, entrega de productos contractuales y el desarrollo del software de integración, las siguientes:</w:t>
      </w:r>
    </w:p>
    <w:p>
      <w:pPr>
        <w:numPr>
          <w:ilvl w:val="0"/>
          <w:numId w:val="1014"/>
        </w:numPr>
        <w:pStyle w:val="Compact"/>
      </w:pPr>
      <w:r>
        <w:t xml:space="preserve">Las integraciones provistas por esta solución son unidades ejecutables desplegables entendidas como servicios de integración directamente relacionados con las historias de usuario, y éstas se corresponden con los servicios indicados en el alcance contractual del proyecto:</w:t>
      </w:r>
      <w:r>
        <w:t xml:space="preserve"> </w:t>
      </w:r>
      <w:r>
        <w:t xml:space="preserve">“</w:t>
      </w:r>
      <w:r>
        <w:t xml:space="preserve">Implementación de 20 o más servicios de integración al 31 de diciembre del 2024</w:t>
      </w:r>
      <w:r>
        <w:t xml:space="preserve">”</w:t>
      </w:r>
      <w:r>
        <w:t xml:space="preserve">. Dicho de otra manera, los servicios de integración de esta solución son a la vez historias de usuario, y servicios de alcance del proyecto.</w:t>
      </w:r>
    </w:p>
    <w:p>
      <w:pPr>
        <w:numPr>
          <w:ilvl w:val="0"/>
          <w:numId w:val="1014"/>
        </w:numPr>
        <w:pStyle w:val="Compact"/>
      </w:pPr>
      <w:r>
        <w:t xml:space="preserve">Un servicio de integración de esta solución es un entregable de software que involucra a aplicaciones consumidoras y proveedoras, y contiene mensaje de interacción, un intermediador de mensajes, ej. un bus de integración, y una o más operaciones de integración empresarial.</w:t>
      </w:r>
    </w:p>
    <w:p>
      <w:pPr>
        <w:numPr>
          <w:ilvl w:val="0"/>
          <w:numId w:val="1014"/>
        </w:numPr>
        <w:pStyle w:val="Compact"/>
      </w:pPr>
      <w:r>
        <w:t xml:space="preserve">Los servicios de integración de esta solución (servicios del alcance según el numeral anterior) no se extiende al cambio de las reglas de negocio de la JEP, ni a sus aplicaciones que las ejecuten. Únicamente se limita a realizar operaciones de integración sobre las capacidades existentes de las aplicaciones.</w:t>
      </w:r>
    </w:p>
    <w:p>
      <w:pPr>
        <w:numPr>
          <w:ilvl w:val="0"/>
          <w:numId w:val="1014"/>
        </w:numPr>
        <w:pStyle w:val="Compact"/>
      </w:pPr>
      <w:r>
        <w:t xml:space="preserve">Para efectos de mantener la continuidad de las entregas, sin perjudicar ni a la calidad, ni a la aceptación de esta solución de integración, aquellas capacidades de las aplicaciones de software de la JEP que generen depedencias o que no estén disponibles al momento del desarrollo de los servicios de integración de esta solución serán provitas por Softgic y funcionarán como sustitutas equivalentes.</w:t>
      </w:r>
    </w:p>
    <w:p>
      <w:pPr>
        <w:pStyle w:val="FirstParagraph"/>
      </w:pPr>
      <w:r>
        <w:t xml:space="preserve">Estas condiciones generales deben ser observadas e informadas a todas las partes.</w:t>
      </w:r>
      <w:r>
        <w:t xml:space="preserve"> </w:t>
      </w:r>
      <w:r>
        <w:t xml:space="preserve">|</w:t>
      </w:r>
      <w:r>
        <w:t xml:space="preserve"> </w:t>
      </w:r>
      <w:r>
        <w:t xml:space="preserve">| Condiciones técnicas de la Integración | Capability | * Uso de infraestructura, almacenamiento y cómputo de la JEP: Openshift Platform, bus empresarial, seguridad de la empresa, tecnoglogía de clusters y contenedores, y Prometheus como la herramienta de monitoreo de servicios.</w:t>
      </w:r>
    </w:p>
    <w:p>
      <w:pPr>
        <w:numPr>
          <w:ilvl w:val="0"/>
          <w:numId w:val="1015"/>
        </w:numPr>
      </w:pPr>
      <w:r>
        <w:t xml:space="preserve">Monitoreo de uso de los recursos de procesamiento, red y memoria de los componentes claves de la solución haciendo uso de ServiceMesh.</w:t>
      </w:r>
    </w:p>
    <w:p>
      <w:pPr>
        <w:numPr>
          <w:ilvl w:val="0"/>
          <w:numId w:val="1015"/>
        </w:numPr>
      </w:pPr>
      <w:r>
        <w:t xml:space="preserve">La solución soporta la habilitación de reglas de alertas sobre los registros de actividad y monitoreo.</w:t>
      </w:r>
    </w:p>
    <w:p>
      <w:pPr>
        <w:numPr>
          <w:ilvl w:val="0"/>
          <w:numId w:val="1015"/>
        </w:numPr>
      </w:pPr>
      <w:r>
        <w:t xml:space="preserve">Soluciones de EFK (Elasticsearch, FluentD, Kibana - ELKstack), a través de operadores para centralizar el proceso de logs que se generan en difrerentes espacios de trabajo.</w:t>
      </w:r>
    </w:p>
    <w:p>
      <w:pPr>
        <w:pStyle w:val="FirstParagraph"/>
      </w:pPr>
      <w:r>
        <w:t xml:space="preserve">Estas condiciones técnicas y tecnológicas deben ser observadas e informadas a todas las partes.</w:t>
      </w:r>
      <w:r>
        <w:t xml:space="preserve"> </w:t>
      </w:r>
      <w:r>
        <w:t xml:space="preserve">|</w:t>
      </w:r>
      <w:r>
        <w:t xml:space="preserve"> </w:t>
      </w:r>
      <w:r>
        <w:t xml:space="preserve">| Conectividad API | Capability | Esta solución de interoperabilidad usa conectividad API REST provista por la infraestructura de conectividad de la JEP (Apache Camel).</w:t>
      </w:r>
      <w:r>
        <w:t xml:space="preserve"> </w:t>
      </w:r>
      <w:r>
        <w:t xml:space="preserve">|</w:t>
      </w:r>
      <w:r>
        <w:t xml:space="preserve"> </w:t>
      </w:r>
      <w:r>
        <w:t xml:space="preserve">| ENTG01. Solución de Integración JEP | Application Component | Documentación técnica del diseño de solución de la integración JEP, 2024.</w:t>
      </w:r>
      <w:r>
        <w:t xml:space="preserve"> </w:t>
      </w:r>
      <w:r>
        <w:t xml:space="preserve">|</w:t>
      </w:r>
      <w:r>
        <w:t xml:space="preserve"> </w:t>
      </w:r>
      <w:r>
        <w:t xml:space="preserve">| ENTG02. Servicios de Integración JEP | Application Service | Servicios ejecutables desplegados en los entornos de software JEP.</w:t>
      </w:r>
      <w:r>
        <w:t xml:space="preserve"> </w:t>
      </w:r>
      <w:r>
        <w:t xml:space="preserve">|</w:t>
      </w:r>
      <w:r>
        <w:t xml:space="preserve"> </w:t>
      </w:r>
      <w:r>
        <w:t xml:space="preserve">| ENTG03. CI/CD Integración JEP | Technology Service | Cadenas de integración y despliegue continuo de los servicios de integración del proyecto de integración JEP, 2024.</w:t>
      </w:r>
      <w:r>
        <w:t xml:space="preserve"> </w:t>
      </w:r>
      <w:r>
        <w:t xml:space="preserve">|</w:t>
      </w:r>
      <w:r>
        <w:t xml:space="preserve"> </w:t>
      </w:r>
      <w:r>
        <w:t xml:space="preserve">| ENTG04. Nodo Integración JEP | Node | Cluster de ejecución de los nodos y procesos de (servicios) de integración del proyecto. |</w:t>
      </w:r>
      <w:r>
        <w:t xml:space="preserve"> </w:t>
      </w:r>
      <w:r>
        <w:t xml:space="preserve">| ENTG05. Proceso (worker) | Application Process | Configuración de servicios de integración del proyecto dentro de la infraestructura tecnológica JEP. |</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ENTG07 (task) | Application Service | Servicios de integración del proyecto desplegados en la infraestructura tecnológica JEP.</w:t>
      </w:r>
      <w:r>
        <w:t xml:space="preserve"> </w:t>
      </w:r>
      <w:r>
        <w:t xml:space="preserve">|</w:t>
      </w:r>
      <w:r>
        <w:t xml:space="preserve"> </w:t>
      </w:r>
      <w:r>
        <w:t xml:space="preserve">| Flujo de datos | Capability | Esta solución de interoperabilidad usa esquemas de datos predefinidos entre las integraciones.</w:t>
      </w:r>
      <w:r>
        <w:t xml:space="preserve"> </w:t>
      </w:r>
      <w:r>
        <w:t xml:space="preserve">|</w:t>
      </w:r>
      <w:r>
        <w:t xml:space="preserve"> </w:t>
      </w:r>
      <w:r>
        <w:t xml:space="preserve">| Justificación Proyecto Integración JEP | Driver | Justificación Proyecto Integración JEP | Driver | Justification: Evolución de la Plataforma de Interoperabilidad para el ano 2024</w:t>
      </w:r>
    </w:p>
    <w:p>
      <w:pPr>
        <w:numPr>
          <w:ilvl w:val="0"/>
          <w:numId w:val="1016"/>
        </w:numPr>
        <w:pStyle w:val="Compact"/>
      </w:pPr>
      <w:r>
        <w:t xml:space="preserve">Evolución de la plataforma tecnología de su interoperabilidad y el cumplimiento de los lineamientos del MinTIC, a traves del</w:t>
      </w:r>
      <w:r>
        <w:t xml:space="preserve"> </w:t>
      </w:r>
      <w:r>
        <w:t xml:space="preserve">“</w:t>
      </w:r>
      <w:r>
        <w:t xml:space="preserve">Manual Interactivo de Gobierno Digital, herramienta dirigida a las entidades publicas nacionales y territoriales (…) Política de Gobierno Digital, Decreto 767 de 2022</w:t>
      </w:r>
      <w:r>
        <w:t xml:space="preserve">”</w:t>
      </w:r>
    </w:p>
    <w:p>
      <w:pPr>
        <w:numPr>
          <w:ilvl w:val="0"/>
          <w:numId w:val="1016"/>
        </w:numPr>
        <w:pStyle w:val="Compact"/>
      </w:pPr>
      <w:r>
        <w:t xml:space="preserve">Interoperabilidad con las entidades externas que demandan información de la JEP</w:t>
      </w:r>
    </w:p>
    <w:p>
      <w:pPr>
        <w:numPr>
          <w:ilvl w:val="0"/>
          <w:numId w:val="1016"/>
        </w:numPr>
        <w:pStyle w:val="Compact"/>
      </w:pPr>
      <w:r>
        <w:t xml:space="preserve">Evolución del modelo de interoperabilidad interna y gobierno de data maestra entre sistemas internos</w:t>
      </w:r>
      <w:r>
        <w:t xml:space="preserve"> </w:t>
      </w:r>
      <w:r>
        <w:t xml:space="preserve">|</w:t>
      </w:r>
      <w:r>
        <w:t xml:space="preserve"> </w:t>
      </w:r>
      <w:r>
        <w:t xml:space="preserve">| Modelo de Seguridad | Capability | Autenticación mixta: JWS y tradicional (usuario, contraseña).</w:t>
      </w:r>
      <w:r>
        <w:t xml:space="preserve"> </w:t>
      </w:r>
      <w:r>
        <w:t xml:space="preserve">|</w:t>
      </w:r>
      <w:r>
        <w:t xml:space="preserve"> </w:t>
      </w:r>
      <w:r>
        <w:t xml:space="preserve">| Objeto Contractual Proyecto JEP | Principle | Prestar los servicios de administración y monitoreo de la solución de interoperabilidad de los sistemas de información de la JEP; así como la implementación de nuevos desarrollos o parametrizaciones que esta solución requiera. |</w:t>
      </w:r>
      <w:r>
        <w:t xml:space="preserve"> </w:t>
      </w:r>
      <w:r>
        <w:t xml:space="preserve">| Patrón de Integración (EIP) | Capability | Pasar de modelo integración EIA (intgración directa ente consumidores y proveedores) a modelo de integración EIP (integración empresarial/bus) sobre Red Hat Integration Platform.</w:t>
      </w:r>
    </w:p>
    <w:p>
      <w:pPr>
        <w:pStyle w:val="FirstParagraph"/>
      </w:pPr>
      <w:r>
        <w:t xml:space="preserve">|</w:t>
      </w:r>
      <w:r>
        <w:t xml:space="preserve"> </w:t>
      </w:r>
      <w:r>
        <w:t xml:space="preserve">| Plano de Administración | Capability | Monitoreo de rendimiento de ssvc de integración.</w:t>
      </w:r>
      <w:r>
        <w:t xml:space="preserve"> </w:t>
      </w:r>
      <w:r>
        <w:t xml:space="preserve">|</w:t>
      </w:r>
      <w:r>
        <w:t xml:space="preserve"> </w:t>
      </w:r>
      <w:r>
        <w:t xml:space="preserve">| Requerimientos integración JEP | Requirement | Del alcance del proyecto,</w:t>
      </w:r>
    </w:p>
    <w:p>
      <w:pPr>
        <w:numPr>
          <w:ilvl w:val="0"/>
          <w:numId w:val="1017"/>
        </w:numPr>
        <w:pStyle w:val="Compact"/>
      </w:pPr>
      <w:r>
        <w:t xml:space="preserve">Implementación de 20 o más servicios de integración al 31 de diciembre del 2024.</w:t>
      </w:r>
    </w:p>
    <w:p>
      <w:pPr>
        <w:numPr>
          <w:ilvl w:val="0"/>
          <w:numId w:val="1017"/>
        </w:numPr>
        <w:pStyle w:val="Compact"/>
      </w:pPr>
      <w:r>
        <w:t xml:space="preserve">Soporte solución de integración a julio 2025.</w:t>
      </w:r>
    </w:p>
    <w:p>
      <w:pPr>
        <w:pStyle w:val="FirstParagraph"/>
      </w:pPr>
      <w:r>
        <w:t xml:space="preserve">Establecemos las bases para el modelo de requerimientos de esta solución, el cual limita la demana a:</w:t>
      </w:r>
    </w:p>
    <w:p>
      <w:pPr>
        <w:numPr>
          <w:ilvl w:val="0"/>
          <w:numId w:val="1018"/>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18"/>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18"/>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r>
        <w:t xml:space="preserve"> </w:t>
      </w:r>
      <w:r>
        <w:t xml:space="preserve">|</w:t>
      </w:r>
      <w:r>
        <w:t xml:space="preserve"> </w:t>
      </w:r>
      <w:r>
        <w:t xml:space="preserve">| Sistema de Mensajes | Capability | Esta solución de interoperabilidad usa un sistema de mensajes (comandos). Los mensajes son de tipo petición, respuesta o excepción.</w:t>
      </w:r>
    </w:p>
    <w:p>
      <w:pPr>
        <w:pStyle w:val="FirstParagraph"/>
      </w:pPr>
      <w:r>
        <w:t xml:space="preserve">La mensajería puede ser asíncrona o síncrona entre aplicaciones o servicios desacoplados. La conexión y la sesión es manejada por un agente intermediario, que puede ser una cola o un bus empresarial (para este contexto, OpenShift, Cliente Red Had Interoperabity o Apache Camel).</w:t>
      </w:r>
    </w:p>
    <w:p>
      <w:pPr>
        <w:pStyle w:val="BodyText"/>
      </w:pPr>
      <w:r>
        <w:t xml:space="preserve">La comunicación del sistema de mensajería ocurre cuando la aplicación o servicio productor emite un comando (mensaje ) de</w:t>
      </w:r>
      <w:r>
        <w:t xml:space="preserve"> </w:t>
      </w:r>
      <w:r>
        <w:t xml:space="preserve">‘</w:t>
      </w:r>
      <w:r>
        <w:t xml:space="preserve">envío</w:t>
      </w:r>
      <w:r>
        <w:t xml:space="preserve">’</w:t>
      </w:r>
      <w:r>
        <w:t xml:space="preserve">, en el cual transmite datos o peticiones de negocio en un formato predefinido, y lo envía a una cola de mensajes.</w:t>
      </w:r>
      <w:r>
        <w:t xml:space="preserve"> </w:t>
      </w:r>
      <w:r>
        <w:t xml:space="preserve">|</w:t>
      </w:r>
      <w:r>
        <w:t xml:space="preserve"> </w:t>
      </w:r>
      <w:r>
        <w:t xml:space="preserve">| Solución de Integración | Capability | Estilos de Integración: Communications backbone</w:t>
      </w:r>
      <w:r>
        <w:t xml:space="preserve"> </w:t>
      </w:r>
      <w:r>
        <w:rPr>
          <w:rStyle w:val="FootnoteReference"/>
        </w:rPr>
        <w:footnoteReference w:id="56"/>
      </w:r>
      <w:r>
        <w:t xml:space="preserve">. Patrón principal: Messaging — Cada aplicación (app) conectada a un mismo sistema de mensajería, intercambio de datos y operación entre aplicaciones mediante mensajes.</w:t>
      </w:r>
    </w:p>
    <w:p>
      <w:pPr>
        <w:pStyle w:val="BodyText"/>
      </w:pPr>
      <w:r>
        <w:t xml:space="preserve">Table: Elementos de la vista. {#tbl:tblelement-04.ING.3n.1.ModelodeInteroperabilidadJEP-id}</w:t>
      </w:r>
    </w:p>
    <w:p>
      <w:pPr>
        <w:pStyle w:val="BodyText"/>
      </w:pPr>
    </w:p>
    <w:bookmarkEnd w:id="57"/>
    <w:bookmarkEnd w:id="58"/>
    <w:bookmarkStart w:id="63" w:name="Xe9ab8079f0ee584c3652e5fde7c1710da09efc8"/>
    <w:p>
      <w:pPr>
        <w:pStyle w:val="Heading2"/>
      </w:pPr>
      <w:r>
        <w:t xml:space="preserve">Ambientes y Herramientas. Organización de Referencia JEP</w:t>
      </w:r>
    </w:p>
    <w:p>
      <w:pPr>
        <w:pStyle w:val="FirstParagraph"/>
      </w:pPr>
      <w:r>
        <w:t xml:space="preserve">Ambientes y Herramientas de Referencia JEP</w:t>
      </w:r>
    </w:p>
    <w:p>
      <w:pPr>
        <w:pStyle w:val="BlockText"/>
      </w:pPr>
      <w:r>
        <w:t xml:space="preserve">Integraciones JEP, 2024 Integración JEP. Softgic. Ambientes y Herramientas. Organización de referencia. versión 0.1.44</w:t>
      </w:r>
    </w:p>
    <w:p>
      <w:pPr>
        <w:pStyle w:val="FirstParagraph"/>
      </w:pPr>
    </w:p>
    <w:p>
      <w:pPr>
        <w:pStyle w:val="BodyText"/>
      </w:pPr>
      <w:r>
        <w:t xml:space="preserve">Organización de referencia de los ambientes de trabajo JEP.</w:t>
      </w:r>
    </w:p>
    <w:p>
      <w:pPr>
        <w:pStyle w:val="CaptionedFigure"/>
      </w:pPr>
      <w:r>
        <w:drawing>
          <wp:inline>
            <wp:extent cx="5207000" cy="3130567"/>
            <wp:effectExtent b="0" l="0" r="0" t="0"/>
            <wp:docPr descr="04.ING.3n.2. Ambientes y Herramientas JEP. Fuente: Repositorio arquitectura Integración JEP (2024)" title="" id="60" name="Picture"/>
            <a:graphic>
              <a:graphicData uri="http://schemas.openxmlformats.org/drawingml/2006/picture">
                <pic:pic>
                  <pic:nvPicPr>
                    <pic:cNvPr descr="images/04.ING.3n.2.AmbientesyHerramientasJEP.png" id="61" name="Picture"/>
                    <pic:cNvPicPr>
                      <a:picLocks noChangeArrowheads="1" noChangeAspect="1"/>
                    </pic:cNvPicPr>
                  </pic:nvPicPr>
                  <pic:blipFill>
                    <a:blip r:embed="rId59"/>
                    <a:stretch>
                      <a:fillRect/>
                    </a:stretch>
                  </pic:blipFill>
                  <pic:spPr bwMode="auto">
                    <a:xfrm>
                      <a:off x="0" y="0"/>
                      <a:ext cx="5207000" cy="3130567"/>
                    </a:xfrm>
                    <a:prstGeom prst="rect">
                      <a:avLst/>
                    </a:prstGeom>
                    <a:noFill/>
                    <a:ln w="9525">
                      <a:noFill/>
                      <a:headEnd/>
                      <a:tailEnd/>
                    </a:ln>
                  </pic:spPr>
                </pic:pic>
              </a:graphicData>
            </a:graphic>
          </wp:inline>
        </w:drawing>
      </w:r>
    </w:p>
    <w:p>
      <w:pPr>
        <w:pStyle w:val="ImageCaption"/>
      </w:pPr>
      <w:r>
        <w:t xml:space="preserve">Figura 5: 04.ING.3n.2. Ambientes y Herramientas JEP.</w:t>
      </w:r>
      <w:r>
        <w:t xml:space="preserve"> </w:t>
      </w:r>
      <w:r>
        <w:rPr>
          <w:iCs/>
          <w:i/>
        </w:rPr>
        <w:t xml:space="preserve">Fuente: Repositorio arquitectura Integración JEP (2024)</w:t>
      </w:r>
    </w:p>
    <w:bookmarkStart w:id="62" w:name="sec:catálogo-de-elementos-4"/>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bl>
    <w:p>
      <w:pPr>
        <w:pStyle w:val="BodyText"/>
      </w:pPr>
      <w:r>
        <w:t xml:space="preserve">|</w:t>
      </w:r>
      <w:r>
        <w:t xml:space="preserve"> </w:t>
      </w:r>
      <w:r>
        <w:t xml:space="preserve">| VM Node | Node | Nodo físico donde corren los procesos del sistema operativo.</w:t>
      </w:r>
      <w:r>
        <w:t xml:space="preserve"> </w:t>
      </w:r>
      <w:r>
        <w:t xml:space="preserve">|</w:t>
      </w:r>
    </w:p>
    <w:p>
      <w:pPr>
        <w:pStyle w:val="BodyText"/>
      </w:pPr>
      <w:r>
        <w:t xml:space="preserve">Table: Elementos de la vista. {#tbl:tblelement-04.ING.3n.2.AmbientesyHerramientasJEP-id}</w:t>
      </w:r>
    </w:p>
    <w:p>
      <w:pPr>
        <w:pStyle w:val="BodyText"/>
      </w:pPr>
    </w:p>
    <w:bookmarkEnd w:id="62"/>
    <w:bookmarkEnd w:id="63"/>
    <w:bookmarkStart w:id="68" w:name="sec:sistema-de-mensajes-integración-jep"/>
    <w:p>
      <w:pPr>
        <w:pStyle w:val="Heading2"/>
      </w:pPr>
      <w:r>
        <w:t xml:space="preserve">Sistema de Mensajes Integración JEP</w:t>
      </w:r>
    </w:p>
    <w:p>
      <w:pPr>
        <w:pStyle w:val="BlockText"/>
      </w:pPr>
      <w:r>
        <w:t xml:space="preserve">Integraciones JEP, 2024 Integración JEP. Softgic. Sistema de Mensajería Integración JEP. Elementos del sistema de mensajería. versión 0.1.27</w:t>
      </w:r>
    </w:p>
    <w:p>
      <w:pPr>
        <w:pStyle w:val="FirstParagraph"/>
      </w:pPr>
    </w:p>
    <w:p>
      <w:pPr>
        <w:pStyle w:val="BodyText"/>
      </w:pPr>
      <w:r>
        <w:t xml:space="preserve">Comunicación entre aplicaciones o servicios desacolplados mediante mensajes de tipo solicitud, respuesta o excepción (request, response, exception).</w:t>
      </w:r>
    </w:p>
    <w:p>
      <w:pPr>
        <w:pStyle w:val="BodyText"/>
      </w:pPr>
      <w:r>
        <w:t xml:space="preserve">El patrón principal de integración es el de Red Troncal de Comunicaciones (Nodo Intermediador en el diagrama): a medida que más y más aplicaciones de la empresa se conectan al sistema de mensajería y hacen que su funcionalidad esté disponible a través de la mensajería, el sistema de mensajería se convierte en un punto centralizado,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p>
    <w:p>
      <w:pPr>
        <w:pStyle w:val="CaptionedFigure"/>
      </w:pPr>
      <w:r>
        <w:drawing>
          <wp:inline>
            <wp:extent cx="5207000" cy="2655421"/>
            <wp:effectExtent b="0" l="0" r="0" t="0"/>
            <wp:docPr descr="04.ING.3n.3. Sistema de Mensajería Integración JEP. Fuente: Repositorio arquitectura Integración JEP (2024)" title="" id="65" name="Picture"/>
            <a:graphic>
              <a:graphicData uri="http://schemas.openxmlformats.org/drawingml/2006/picture">
                <pic:pic>
                  <pic:nvPicPr>
                    <pic:cNvPr descr="images/04.ING.3n.3.SistemadeMensajeríaIntegraciónJEP.png" id="66" name="Picture"/>
                    <pic:cNvPicPr>
                      <a:picLocks noChangeArrowheads="1" noChangeAspect="1"/>
                    </pic:cNvPicPr>
                  </pic:nvPicPr>
                  <pic:blipFill>
                    <a:blip r:embed="rId64"/>
                    <a:stretch>
                      <a:fillRect/>
                    </a:stretch>
                  </pic:blipFill>
                  <pic:spPr bwMode="auto">
                    <a:xfrm>
                      <a:off x="0" y="0"/>
                      <a:ext cx="5207000" cy="2655421"/>
                    </a:xfrm>
                    <a:prstGeom prst="rect">
                      <a:avLst/>
                    </a:prstGeom>
                    <a:noFill/>
                    <a:ln w="9525">
                      <a:noFill/>
                      <a:headEnd/>
                      <a:tailEnd/>
                    </a:ln>
                  </pic:spPr>
                </pic:pic>
              </a:graphicData>
            </a:graphic>
          </wp:inline>
        </w:drawing>
      </w:r>
    </w:p>
    <w:p>
      <w:pPr>
        <w:pStyle w:val="ImageCaption"/>
      </w:pPr>
      <w:r>
        <w:t xml:space="preserve">Figura 6: 04.ING.3n.3. Sistema de Mensajería Integración JEP.</w:t>
      </w:r>
      <w:r>
        <w:t xml:space="preserve"> </w:t>
      </w:r>
      <w:r>
        <w:rPr>
          <w:iCs/>
          <w:i/>
        </w:rPr>
        <w:t xml:space="preserve">Fuente: Repositorio arquitectura Integración JEP (2024)</w:t>
      </w:r>
    </w:p>
    <w:bookmarkStart w:id="67" w:name="sec:catálogo-de-elementos-5"/>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Consumidor</w:t>
            </w:r>
          </w:p>
        </w:tc>
        <w:tc>
          <w:tcPr/>
          <w:p>
            <w:pPr>
              <w:pStyle w:val="Compact"/>
              <w:jc w:val="left"/>
            </w:pPr>
            <w:r>
              <w:t xml:space="preserve">Application Component</w:t>
            </w:r>
          </w:p>
        </w:tc>
        <w:tc>
          <w:tcPr/>
          <w:p>
            <w:pPr>
              <w:pStyle w:val="Compact"/>
              <w:jc w:val="left"/>
            </w:pPr>
            <w:r>
              <w:t xml:space="preserve">Aplicación o servicio consumidor. Emite mensajes de petición al proveedor de datos o comandos.</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Interfaz intermediación</w:t>
            </w:r>
          </w:p>
        </w:tc>
        <w:tc>
          <w:tcPr/>
          <w:p>
            <w:pPr>
              <w:pStyle w:val="Compact"/>
              <w:jc w:val="left"/>
            </w:pPr>
            <w:r>
              <w:t xml:space="preserve">Application Interface</w:t>
            </w:r>
          </w:p>
        </w:tc>
        <w:tc>
          <w:tcPr/>
          <w:p>
            <w:pPr>
              <w:pStyle w:val="Compact"/>
              <w:jc w:val="left"/>
            </w:pPr>
            <w:r>
              <w:t xml:space="preserve">API de transporte de mensajjes. Protocolo JMS, XMQ, MSMQ, etc.</w:t>
            </w:r>
          </w:p>
        </w:tc>
      </w:tr>
      <w:tr>
        <w:tc>
          <w:tcPr/>
          <w:p>
            <w:pPr>
              <w:pStyle w:val="Compact"/>
            </w:pPr>
          </w:p>
        </w:tc>
        <w:tc>
          <w:tcPr/>
          <w:p>
            <w:pPr>
              <w:pStyle w:val="Compact"/>
            </w:pPr>
          </w:p>
        </w:tc>
        <w:tc>
          <w:tcPr/>
          <w:p>
            <w:pPr>
              <w:pStyle w:val="Compact"/>
            </w:pPr>
          </w:p>
        </w:tc>
      </w:tr>
      <w:tr>
        <w:tc>
          <w:tcPr/>
          <w:p>
            <w:pPr>
              <w:pStyle w:val="Compact"/>
              <w:jc w:val="left"/>
            </w:pPr>
            <w:r>
              <w:t xml:space="preserve">Intermediador (cola o bus)</w:t>
            </w:r>
          </w:p>
        </w:tc>
        <w:tc>
          <w:tcPr/>
          <w:p>
            <w:pPr>
              <w:pStyle w:val="Compact"/>
              <w:jc w:val="left"/>
            </w:pPr>
            <w:r>
              <w:t xml:space="preserve">Application Component</w:t>
            </w:r>
          </w:p>
        </w:tc>
        <w:tc>
          <w:tcPr/>
          <w:p>
            <w:pPr>
              <w:pStyle w:val="Compact"/>
              <w:jc w:val="left"/>
            </w:pPr>
            <w:r>
              <w:t xml:space="preserve">Bus de Red Hat, aplicación cliente Quarkus, o intermediador de integración Apache Camel.</w:t>
            </w:r>
          </w:p>
        </w:tc>
      </w:tr>
      <w:tr>
        <w:tc>
          <w:tcPr/>
          <w:p>
            <w:pPr>
              <w:pStyle w:val="Compact"/>
              <w:jc w:val="left"/>
            </w:pPr>
            <w:r>
              <w:t xml:space="preserve">Mensaje respuesta o excepción</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Mensaje solicitud</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Nodo Intermediador</w:t>
            </w:r>
          </w:p>
        </w:tc>
        <w:tc>
          <w:tcPr/>
          <w:p>
            <w:pPr>
              <w:pStyle w:val="Compact"/>
              <w:jc w:val="left"/>
            </w:pPr>
            <w:r>
              <w:t xml:space="preserve">Application Interface</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bl>
    <w:p>
      <w:pPr>
        <w:pStyle w:val="BodyText"/>
      </w:pPr>
      <w:r>
        <w:t xml:space="preserve">|</w:t>
      </w:r>
      <w:r>
        <w:t xml:space="preserve"> </w:t>
      </w:r>
      <w:r>
        <w:t xml:space="preserve">| Proveedor | Application Component | Aplicación o servicio proveedor. Emite mensajes de respuesta al consumidor de datos o comandos.</w:t>
      </w:r>
      <w:r>
        <w:t xml:space="preserve"> </w:t>
      </w:r>
      <w:r>
        <w:t xml:space="preserve">|</w:t>
      </w:r>
      <w:r>
        <w:t xml:space="preserve"> </w:t>
      </w:r>
      <w:r>
        <w:t xml:space="preserve">| VM Node | Node | Nodo físico donde corren los procesos del sistema operativo.</w:t>
      </w:r>
      <w:r>
        <w:t xml:space="preserve"> </w:t>
      </w:r>
      <w:r>
        <w:t xml:space="preserve">|</w:t>
      </w:r>
    </w:p>
    <w:p>
      <w:pPr>
        <w:pStyle w:val="BodyText"/>
      </w:pPr>
      <w:r>
        <w:t xml:space="preserve">Table: Elementos de la vista. {#tbl:tblelement-04.ING.3n.3.SistemadeMensajeríaIntegraciónJEP-id}</w:t>
      </w:r>
    </w:p>
    <w:p>
      <w:pPr>
        <w:pStyle w:val="BodyText"/>
      </w:pPr>
    </w:p>
    <w:bookmarkEnd w:id="67"/>
    <w:bookmarkEnd w:id="68"/>
    <w:bookmarkEnd w:id="69"/>
    <w:bookmarkStart w:id="78" w:name="X9eaf8f9e5aaaec9efd1b932dd65c6a451e58315"/>
    <w:p>
      <w:pPr>
        <w:pStyle w:val="Heading1"/>
      </w:pPr>
      <w:r>
        <w:t xml:space="preserve">Modelo de Requerimientos de Interoperabilidad Proyecto JEP</w:t>
      </w:r>
    </w:p>
    <w:bookmarkStart w:id="77" w:name="sec:requerimientos-de-integración-jep"/>
    <w:p>
      <w:pPr>
        <w:pStyle w:val="Heading2"/>
      </w:pPr>
      <w:r>
        <w:t xml:space="preserve">Requerimientos de Integración JEP</w:t>
      </w:r>
    </w:p>
    <w:p>
      <w:pPr>
        <w:pStyle w:val="BlockText"/>
      </w:pPr>
      <w:r>
        <w:t xml:space="preserve">Modelo de Requerimientos Proyecto Integración JEP, 2024. Softgic. Requerimientos, condiciones técnicas, solución del proyecto Integración JEP, 2024. Versión 0.1.43</w:t>
      </w:r>
    </w:p>
    <w:p>
      <w:pPr>
        <w:pStyle w:val="FirstParagraph"/>
      </w:pPr>
    </w:p>
    <w:p>
      <w:pPr>
        <w:pStyle w:val="BodyText"/>
      </w:pPr>
      <w:r>
        <w:t xml:space="preserve">Documentación de requerimientos del proyecto de integración JEP, 2024. Implementados mediante el modelo de producción del proyecto.</w:t>
      </w:r>
    </w:p>
    <w:p>
      <w:pPr>
        <w:pStyle w:val="BodyText"/>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 Documento: Justificativo de la Contratación Invitación Pública</w:t>
      </w:r>
    </w:p>
    <w:p>
      <w:pPr>
        <w:pStyle w:val="CaptionedFigure"/>
      </w:pPr>
      <w:r>
        <w:drawing>
          <wp:inline>
            <wp:extent cx="2749604" cy="4762500"/>
            <wp:effectExtent b="0" l="0" r="0" t="0"/>
            <wp:docPr descr="05.REQR.1n. Requerimientos Servicios de Integración. Fuente: Repositorio arquitectura Integración JEP (2024)" title="" id="71" name="Picture"/>
            <a:graphic>
              <a:graphicData uri="http://schemas.openxmlformats.org/drawingml/2006/picture">
                <pic:pic>
                  <pic:nvPicPr>
                    <pic:cNvPr descr="images/05.REQR.1n.RequerimientosServiciosdeIntegración.png" id="72" name="Picture"/>
                    <pic:cNvPicPr>
                      <a:picLocks noChangeArrowheads="1" noChangeAspect="1"/>
                    </pic:cNvPicPr>
                  </pic:nvPicPr>
                  <pic:blipFill>
                    <a:blip r:embed="rId70"/>
                    <a:stretch>
                      <a:fillRect/>
                    </a:stretch>
                  </pic:blipFill>
                  <pic:spPr bwMode="auto">
                    <a:xfrm>
                      <a:off x="0" y="0"/>
                      <a:ext cx="2749604" cy="4762500"/>
                    </a:xfrm>
                    <a:prstGeom prst="rect">
                      <a:avLst/>
                    </a:prstGeom>
                    <a:noFill/>
                    <a:ln w="9525">
                      <a:noFill/>
                      <a:headEnd/>
                      <a:tailEnd/>
                    </a:ln>
                  </pic:spPr>
                </pic:pic>
              </a:graphicData>
            </a:graphic>
          </wp:inline>
        </w:drawing>
      </w:r>
    </w:p>
    <w:p>
      <w:pPr>
        <w:pStyle w:val="ImageCaption"/>
      </w:pPr>
      <w:r>
        <w:t xml:space="preserve">Figura 7: 05.REQR.1n. Requerimientos Servicios de Integración.</w:t>
      </w:r>
      <w:r>
        <w:t xml:space="preserve"> </w:t>
      </w:r>
      <w:r>
        <w:rPr>
          <w:iCs/>
          <w:i/>
        </w:rPr>
        <w:t xml:space="preserve">Fuente: Repositorio arquitectura Integración JEP (2024)</w:t>
      </w:r>
    </w:p>
    <w:bookmarkStart w:id="73" w:name="sec:catálogo-de-elementos-6"/>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REQR11. Integración gestión médica</w:t>
            </w:r>
          </w:p>
        </w:tc>
        <w:tc>
          <w:tcPr/>
          <w:p>
            <w:pPr>
              <w:pStyle w:val="Compact"/>
              <w:jc w:val="left"/>
            </w:pPr>
            <w:r>
              <w:t xml:space="preserve">Requirement</w:t>
            </w:r>
          </w:p>
        </w:tc>
        <w:tc>
          <w:tcPr/>
          <w:p>
            <w:pPr>
              <w:pStyle w:val="Compact"/>
              <w:jc w:val="left"/>
            </w:pPr>
            <w:r>
              <w:t xml:space="preserve">Documentación del requerimiento de integración de la gestión médica JEP. Exposición de las capacidades Radicar MP y Indexar Imagen.</w:t>
            </w:r>
          </w:p>
        </w:tc>
      </w:tr>
    </w:tbl>
    <w:p>
      <w:pPr>
        <w:pStyle w:val="BodyText"/>
      </w:pPr>
      <w:r>
        <w:t xml:space="preserve">Fuente: gestionMedidaProteccion (pdf).</w:t>
      </w:r>
    </w:p>
    <w:bookmarkEnd w:id="73"/>
    <w:bookmarkStart w:id="74" w:name="X8ae3bc333c0d418fc477fe355d0aabfb3b51768"/>
    <w:p>
      <w:pPr>
        <w:pStyle w:val="Heading3"/>
      </w:pPr>
      <w:r>
        <w:t xml:space="preserve">Índice de la documentación (casos de uso)</w:t>
      </w:r>
    </w:p>
    <w:p>
      <w:pPr>
        <w:numPr>
          <w:ilvl w:val="0"/>
          <w:numId w:val="1019"/>
        </w:numPr>
        <w:pStyle w:val="Compact"/>
      </w:pPr>
      <w:r>
        <w:t xml:space="preserve">Caso de Uso 1. Integrar Radicar MP</w:t>
      </w:r>
    </w:p>
    <w:p>
      <w:pPr>
        <w:numPr>
          <w:ilvl w:val="0"/>
          <w:numId w:val="1019"/>
        </w:numPr>
        <w:pStyle w:val="Compact"/>
      </w:pPr>
      <w:r>
        <w:t xml:space="preserve">Caso de Uso 2. Integrar Indexar Imagen</w:t>
      </w:r>
    </w:p>
    <w:p>
      <w:pPr>
        <w:pStyle w:val="FirstParagraph"/>
      </w:pPr>
      <w:r>
        <w:t xml:space="preserve">|</w:t>
      </w:r>
      <w:r>
        <w:t xml:space="preserve"> </w:t>
      </w:r>
      <w:r>
        <w:t xml:space="preserve">| API en contenedores | Technology Service | 1. La solución de administración de API debe admitir la instalación de API Gateways en contenedores tanto dentro de una plataforma Kubernetes o utilizando en motor de contenedor aprobado por la especificación OCI.</w:t>
      </w:r>
      <w:r>
        <w:t xml:space="preserve"> </w:t>
      </w:r>
      <w:r>
        <w:t xml:space="preserve">|</w:t>
      </w:r>
      <w:r>
        <w:t xml:space="preserve"> </w:t>
      </w:r>
      <w:r>
        <w:t xml:space="preserve">| Aplicación de políticas API | Technology Service | 1. La herramienta API Gateway debe controlar la ejecución de llamadas, recopilar métricas, aplicar políticas y límites de ejecución;</w:t>
      </w:r>
      <w:r>
        <w:t xml:space="preserve"> </w:t>
      </w:r>
      <w:r>
        <w:t xml:space="preserve">|</w:t>
      </w:r>
      <w:r>
        <w:t xml:space="preserve"> </w:t>
      </w:r>
      <w:r>
        <w:t xml:space="preserve">| Apoyar la gestión médica | Value | Valor: el requerimientos genera entregables de valor para la gestión médica de JEP.</w:t>
      </w:r>
      <w:r>
        <w:t xml:space="preserve"> </w:t>
      </w:r>
      <w:r>
        <w:t xml:space="preserve">|</w:t>
      </w:r>
      <w:r>
        <w:t xml:space="preserve"> </w:t>
      </w:r>
      <w:r>
        <w:t xml:space="preserve">| Comunicación Legali x Conti | Value | Valor: el requerimientos genera entregables de valor para la integración de aplicaciones de JEP. |</w:t>
      </w:r>
      <w:r>
        <w:t xml:space="preserve"> </w:t>
      </w:r>
      <w:r>
        <w:t xml:space="preserve">| Comunicación Legali x Protecti | Value | Valor: el requerimientos genera entregables de valor para la integración de aplicaciones de JEP. |</w:t>
      </w:r>
      <w:r>
        <w:t xml:space="preserve"> </w:t>
      </w:r>
      <w:r>
        <w:t xml:space="preserve">| Contractual | Goal | Objetivo: el requerimiento tiene carácter contractual.</w:t>
      </w:r>
      <w:r>
        <w:t xml:space="preserve"> </w:t>
      </w:r>
      <w:r>
        <w:t xml:space="preserve">|</w:t>
      </w:r>
      <w:r>
        <w:t xml:space="preserve"> </w:t>
      </w:r>
      <w:r>
        <w:t xml:space="preserve">| Conversión de mensajes | Technology Service | 1. Debe poder convertir mensajes a / desde: XML, objetos Java, JSON, REST, CSV. |</w:t>
      </w:r>
      <w:r>
        <w:t xml:space="preserve"> </w:t>
      </w:r>
      <w:r>
        <w:t xml:space="preserve">| Generar API | Technology Service | 1. La solución debe implementar la publicación de microservicios que generen múltiples API para plataformas y clientes específicos con las funciones específicas y protocolos requeridos por cada plataforma. |</w:t>
      </w:r>
      <w:r>
        <w:t xml:space="preserve"> </w:t>
      </w:r>
      <w:r>
        <w:t xml:space="preserve">| Gestión de tokens de acceso | Technology Service | 1. Debe ser posible gestionar la creación de un token de acceso, eligiendo su alcance, permiso y otras cualidades a nivel de autenticación.</w:t>
      </w:r>
      <w:r>
        <w:t xml:space="preserve"> </w:t>
      </w:r>
      <w:r>
        <w:t xml:space="preserve">|</w:t>
      </w:r>
      <w:r>
        <w:t xml:space="preserve"> </w:t>
      </w:r>
      <w:r>
        <w:t xml:space="preserve">| Levantamiento | Constraint | Restricción: el requerimiento está condicionado por la completitud del levantamiento.</w:t>
      </w:r>
      <w:r>
        <w:t xml:space="preserve"> </w:t>
      </w:r>
      <w:r>
        <w:t xml:space="preserve">|</w:t>
      </w:r>
      <w:r>
        <w:t xml:space="preserve"> </w:t>
      </w:r>
      <w:r>
        <w:t xml:space="preserve">| Métricas con Prometheus | Technology Service | 1. La solución debería exponer métricas con integración nativa al software Prometheus. |</w:t>
      </w:r>
      <w:r>
        <w:t xml:space="preserve"> </w:t>
      </w:r>
      <w:r>
        <w:t xml:space="preserve">| Múltiples protocols | Technology Service | 1. La solución debe implementar el habilitar la traducción de múltiples protocolos del consumidor a un protocolo específico del microservicio ofrecido a través de un API Gateway.</w:t>
      </w:r>
      <w:r>
        <w:t xml:space="preserve"> </w:t>
      </w:r>
      <w:r>
        <w:t xml:space="preserve">|</w:t>
      </w:r>
      <w:r>
        <w:t xml:space="preserve"> </w:t>
      </w:r>
      <w:r>
        <w:t xml:space="preserve">| No Funcional | Goal | Condiciones técnicas que debe cumplir la solución de interoperabilidad JEP.</w:t>
      </w:r>
      <w:r>
        <w:t xml:space="preserve"> </w:t>
      </w:r>
      <w:r>
        <w:t xml:space="preserve">|</w:t>
      </w:r>
      <w:r>
        <w:t xml:space="preserve"> </w:t>
      </w:r>
      <w:r>
        <w:t xml:space="preserve">| Observabilidad de API | Technology Service | 1. Debe permitir ver las llamadas a la API y separar los códigos de retorno HTTP.</w:t>
      </w:r>
      <w:r>
        <w:t xml:space="preserve"> </w:t>
      </w:r>
      <w:r>
        <w:t xml:space="preserve">|</w:t>
      </w:r>
      <w:r>
        <w:t xml:space="preserve"> </w:t>
      </w:r>
      <w:r>
        <w:t xml:space="preserve">| Plataforma Openshift | Technology Service | 1. Los servicios se deberán implementar bajo la plataforma Openshift de RedHat. |</w:t>
      </w:r>
      <w:r>
        <w:t xml:space="preserve"> </w:t>
      </w:r>
      <w:r>
        <w:t xml:space="preserve">| Prácticas de integración empresarial | Technology Service | 1. La infraestructura debe distribuirse de modo que las integraciones, construidas a partir de EIP (patrones de integración empresarial) y conectores predefinidos, se implementen en la infraestructura nativa del contenedor para adaptarse y escalar rápidamente |</w:t>
      </w:r>
      <w:r>
        <w:t xml:space="preserve"> </w:t>
      </w:r>
      <w:r>
        <w:t xml:space="preserve">| REQR12. Integración Legali x Protecti | Requirement | Documentación API de integración. Creación de documento técnico para el consumo de servicios web.</w:t>
      </w:r>
    </w:p>
    <w:p>
      <w:pPr>
        <w:pStyle w:val="BodyText"/>
      </w:pPr>
      <w:r>
        <w:t xml:space="preserve">Fuente: Documentación técnica - API Integración - Consulta de personas (pdf). Pedro Escobar, ing.</w:t>
      </w:r>
    </w:p>
    <w:bookmarkEnd w:id="74"/>
    <w:bookmarkStart w:id="75" w:name="Xe2a2e48a481680c1d6185fe541c11ce4fece4bc"/>
    <w:p>
      <w:pPr>
        <w:pStyle w:val="Heading3"/>
      </w:pPr>
      <w:r>
        <w:t xml:space="preserve">Índice de la documentación (casos de uso)</w:t>
      </w:r>
    </w:p>
    <w:p>
      <w:pPr>
        <w:numPr>
          <w:ilvl w:val="0"/>
          <w:numId w:val="1020"/>
        </w:numPr>
        <w:pStyle w:val="Compact"/>
      </w:pPr>
      <w:r>
        <w:t xml:space="preserve">Personas</w:t>
      </w:r>
    </w:p>
    <w:p>
      <w:pPr>
        <w:numPr>
          <w:ilvl w:val="0"/>
          <w:numId w:val="1020"/>
        </w:numPr>
        <w:pStyle w:val="Compact"/>
      </w:pPr>
      <w:r>
        <w:t xml:space="preserve">Persona</w:t>
      </w:r>
    </w:p>
    <w:p>
      <w:pPr>
        <w:numPr>
          <w:ilvl w:val="0"/>
          <w:numId w:val="1020"/>
        </w:numPr>
        <w:pStyle w:val="Compact"/>
      </w:pPr>
      <w:r>
        <w:t xml:space="preserve">Dirección de la persona</w:t>
      </w:r>
    </w:p>
    <w:p>
      <w:pPr>
        <w:numPr>
          <w:ilvl w:val="0"/>
          <w:numId w:val="1020"/>
        </w:numPr>
        <w:pStyle w:val="Compact"/>
      </w:pPr>
      <w:r>
        <w:t xml:space="preserve">Teléfono de la persona</w:t>
      </w:r>
    </w:p>
    <w:p>
      <w:pPr>
        <w:numPr>
          <w:ilvl w:val="0"/>
          <w:numId w:val="1020"/>
        </w:numPr>
        <w:pStyle w:val="Compact"/>
      </w:pPr>
      <w:r>
        <w:t xml:space="preserve">Procesos de la persona</w:t>
      </w:r>
    </w:p>
    <w:p>
      <w:pPr>
        <w:numPr>
          <w:ilvl w:val="0"/>
          <w:numId w:val="1020"/>
        </w:numPr>
        <w:pStyle w:val="Compact"/>
      </w:pPr>
      <w:r>
        <w:t xml:space="preserve">Detalles del proceso</w:t>
      </w:r>
    </w:p>
    <w:p>
      <w:pPr>
        <w:numPr>
          <w:ilvl w:val="0"/>
          <w:numId w:val="1020"/>
        </w:numPr>
        <w:pStyle w:val="Compact"/>
      </w:pPr>
      <w:r>
        <w:t xml:space="preserve">Partes del proceso</w:t>
      </w:r>
    </w:p>
    <w:p>
      <w:pPr>
        <w:numPr>
          <w:ilvl w:val="0"/>
          <w:numId w:val="1020"/>
        </w:numPr>
        <w:pStyle w:val="Compact"/>
      </w:pPr>
      <w:r>
        <w:t xml:space="preserve">Asociación de parte del proceso</w:t>
      </w:r>
    </w:p>
    <w:p>
      <w:pPr>
        <w:numPr>
          <w:ilvl w:val="0"/>
          <w:numId w:val="1020"/>
        </w:numPr>
        <w:pStyle w:val="Compact"/>
      </w:pPr>
      <w:r>
        <w:t xml:space="preserve">Paginación</w:t>
      </w:r>
    </w:p>
    <w:p>
      <w:pPr>
        <w:pStyle w:val="FirstParagraph"/>
      </w:pPr>
      <w:r>
        <w:t xml:space="preserve">|</w:t>
      </w:r>
      <w:r>
        <w:t xml:space="preserve"> </w:t>
      </w:r>
      <w:r>
        <w:t xml:space="preserve">| REQR2. Condiciones tecnológicas JEP | Requirement | 1. La solución debe implementar el habilitar la traducción de múltiples protocolos del consumidor a un protocolo específico del microservicio ofrecido a través de un API Gateway</w:t>
      </w:r>
      <w:r>
        <w:t xml:space="preserve"> </w:t>
      </w:r>
      <w:r>
        <w:t xml:space="preserve">1. La solución debe implementar la publicación de microservicios que generen múltiples API para plataformas y clientes específicos con las funciones específicas y protocolos requeridos por cada plataforma</w:t>
      </w:r>
      <w:r>
        <w:t xml:space="preserve"> </w:t>
      </w:r>
      <w:r>
        <w:t xml:space="preserve">1. La solución debe implementar un mecanismo de hacer la trazabilidad, uso y registro de actividades de los microservicios.</w:t>
      </w:r>
      <w:r>
        <w:t xml:space="preserve"> </w:t>
      </w:r>
      <w:r>
        <w:t xml:space="preserve">1. Debe permitir la integración con un servicio de directorio corporativo que puede servir como administrador de identidad corporativa. Por lo tanto, la solución debe poder actuar como Administrador de acceso (Identity Access Manager - IaM) mientras que el Servicio de directorio sirve como Administrador e Identidades (Identity Manager - IdM).</w:t>
      </w:r>
      <w:r>
        <w:t xml:space="preserve"> </w:t>
      </w:r>
      <w:r>
        <w:t xml:space="preserve">1. Debe admitir la transformación y el enrutamiento hacia / desde SOAP / HTTP a los servicios REST.</w:t>
      </w:r>
      <w:r>
        <w:t xml:space="preserve"> </w:t>
      </w:r>
      <w:r>
        <w:t xml:space="preserve">1. Debe poder convertir mensajes a / desde: XML, objetos Java, JSON, REST, CSV.</w:t>
      </w:r>
      <w:r>
        <w:t xml:space="preserve"> </w:t>
      </w:r>
      <w:r>
        <w:t xml:space="preserve">1. Debe proporcionar componentes para la transformación utilizando modelos predefinidos (plantillas).</w:t>
      </w:r>
      <w:r>
        <w:t xml:space="preserve"> </w:t>
      </w:r>
      <w:r>
        <w:t xml:space="preserve">1. La infraestructura debe distribuirse de modo que las integraciones, construidas a partir de EIP (patrones de integración empresarial) y conectores predefinidos, se implementen en la infraestructura nativa del contenedor para adaptarse y escalar rápidamente</w:t>
      </w:r>
      <w:r>
        <w:t xml:space="preserve"> </w:t>
      </w:r>
      <w:r>
        <w:t xml:space="preserve">1. La solución debería exponer métricas con integración nativa al software Prometheus</w:t>
      </w:r>
      <w:r>
        <w:t xml:space="preserve"> </w:t>
      </w:r>
      <w:r>
        <w:t xml:space="preserve">1. Debe ser posible gestionar la creación de un token de acceso, eligiendo su alcance, permiso y otras cualidades a nivel de autenticación</w:t>
      </w:r>
      <w:r>
        <w:t xml:space="preserve"> </w:t>
      </w:r>
      <w:r>
        <w:t xml:space="preserve">1. La solución de administración de API debe admitir la instalación de API Gateways en contenedores tanto dentro de una plataforma Kubernetes o utilizando en motor de contenedor aprobado por la especificación OCI</w:t>
      </w:r>
      <w:r>
        <w:t xml:space="preserve"> </w:t>
      </w:r>
      <w:r>
        <w:t xml:space="preserve">1. Debe permitir ver las llamadas a la API y separar los códigos de retorno HTTP.</w:t>
      </w:r>
      <w:r>
        <w:t xml:space="preserve"> </w:t>
      </w:r>
      <w:r>
        <w:t xml:space="preserve">1. La herramienta API Gateway debe controlar la ejecución de llamadas, recopilar métricas, aplicar políticas y límites de ejecución;</w:t>
      </w:r>
      <w:r>
        <w:t xml:space="preserve"> </w:t>
      </w:r>
      <w:r>
        <w:t xml:space="preserve">1. Para permitir interoperabilidad debe habilitar transporte de mensajes y conectarse entre ellos. Los mecanismos de transporte deben incluir Java Messaging Service (JMS), Active MQ y asi mismo protocolos de comunicación tal como HTTP/HTTPS,SMTP, entre otros</w:t>
      </w:r>
      <w:r>
        <w:t xml:space="preserve"> </w:t>
      </w:r>
      <w:r>
        <w:t xml:space="preserve">1. Se debe contar con la característica de Single Sign On (SSO)</w:t>
      </w:r>
      <w:r>
        <w:t xml:space="preserve"> </w:t>
      </w:r>
      <w:r>
        <w:t xml:space="preserve">1. Los servicios se deberán implementar bajo la plataforma Openshift de RedHat</w:t>
      </w:r>
      <w:r>
        <w:t xml:space="preserve"> </w:t>
      </w:r>
      <w:r>
        <w:t xml:space="preserve">1. Se debe contemplar dentro de estos desarrollos la Transferencia de archivos utilizando el esquema de almacenamiento de Openshift ODF asociado a un esquema NFS, Administración de Personas, Consulta y transferencia de expedientes o partes de expedientes y anexos, etc</w:t>
      </w:r>
    </w:p>
    <w:p>
      <w:pPr>
        <w:pStyle w:val="BodyText"/>
      </w:pPr>
      <w:r>
        <w:t xml:space="preserve">Fuente: Anexo Técnico 1.1 Pliego del Proyecto</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75"/>
    <w:bookmarkStart w:id="76" w:name="Xf3f2a5b00035c349fdba78c62a0da344d81b6a9"/>
    <w:p>
      <w:pPr>
        <w:pStyle w:val="Heading3"/>
      </w:pPr>
      <w:r>
        <w:t xml:space="preserve">Índice de la documentación (casos de uso)</w:t>
      </w:r>
    </w:p>
    <w:p>
      <w:pPr>
        <w:numPr>
          <w:ilvl w:val="0"/>
          <w:numId w:val="1021"/>
        </w:numPr>
        <w:pStyle w:val="Compact"/>
      </w:pPr>
      <w:r>
        <w:t xml:space="preserve">Integración. Ingreso a Conti</w:t>
      </w:r>
    </w:p>
    <w:p>
      <w:pPr>
        <w:numPr>
          <w:ilvl w:val="0"/>
          <w:numId w:val="1021"/>
        </w:numPr>
        <w:pStyle w:val="Compact"/>
      </w:pPr>
      <w:r>
        <w:t xml:space="preserve">Integración. Consulta ítem de Conti</w:t>
      </w:r>
    </w:p>
    <w:p>
      <w:pPr>
        <w:numPr>
          <w:ilvl w:val="0"/>
          <w:numId w:val="1021"/>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SINT10. Integrar Radicar MP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SINT11. Integrar Indexar Imagen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SINT20. Personas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SINT21.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SINT22. Dirección de la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SINT23. Partes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SINT23. Teléfono de la persona | Application Service |</w:t>
      </w:r>
      <w:r>
        <w:t xml:space="preserve"> </w:t>
      </w:r>
      <w:r>
        <w:t xml:space="preserve">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SINT25. Procesos de la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SINT26. Asociación de parte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SINT26. Detalles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SINT27. Paginación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Single Sign On (SSO) | Technology Service | 1. Se debe contar con la característica de Single Sign On (SSO).</w:t>
      </w:r>
      <w:r>
        <w:t xml:space="preserve"> </w:t>
      </w:r>
      <w:r>
        <w:t xml:space="preserve">|</w:t>
      </w:r>
      <w:r>
        <w:t xml:space="preserve"> </w:t>
      </w:r>
      <w:r>
        <w:t xml:space="preserve">| Sistema de mensajes | Technology Service | 1. Para permitir interoperabilidad debe habilitar transporte de mensajes y conectarse entre ellos. Los mecanismos de transporte deben incluir Java Messaging Service (JMS), Active MQ y asi mismo protocolos de comunicación tal como HTTP/HTTPS,</w:t>
      </w:r>
      <w:r>
        <w:t xml:space="preserve"> </w:t>
      </w:r>
      <w:r>
        <w:t xml:space="preserve">SMTP, entre otros.</w:t>
      </w:r>
      <w:r>
        <w:t xml:space="preserve"> </w:t>
      </w:r>
      <w:r>
        <w:t xml:space="preserve">|</w:t>
      </w:r>
      <w:r>
        <w:t xml:space="preserve"> </w:t>
      </w:r>
      <w:r>
        <w:t xml:space="preserve">| Transferencia de archivos | Technology Service | 1. Se debe contemplar dentro de estos desarrollos la transferencia de archivos utilizando el esquema de almacenamiento de Openshift ODF asociado a un esquema NFS, Administración de Personas, Consulta y transferencia de expedientes o partes de expedientes y anexos, etc .</w:t>
      </w:r>
      <w:r>
        <w:t xml:space="preserve"> </w:t>
      </w:r>
      <w:r>
        <w:t xml:space="preserve">|</w:t>
      </w:r>
      <w:r>
        <w:t xml:space="preserve"> </w:t>
      </w:r>
      <w:r>
        <w:t xml:space="preserve">| Transformación | Technology Service | 1. Debe proporcionar componentes para la transformación utilizando modelos predefinidos (plantillas). |</w:t>
      </w:r>
      <w:r>
        <w:t xml:space="preserve"> </w:t>
      </w:r>
      <w:r>
        <w:t xml:space="preserve">| Transformación y enrutamiento | Technology Service | 1. Debe admitir la transformación y el enrutamiento hacia / desde SOAP / HTTP a los servicios REST. |</w:t>
      </w:r>
      <w:r>
        <w:t xml:space="preserve"> </w:t>
      </w:r>
      <w:r>
        <w:t xml:space="preserve">| Trazabilidad | Technology Service | 1. La solución debe implementar un mecanismo de hacer la trazabilidad, uso y registro de actividades de los microservicios.</w:t>
      </w:r>
      <w:r>
        <w:t xml:space="preserve"> </w:t>
      </w:r>
      <w:r>
        <w:t xml:space="preserve">|</w:t>
      </w:r>
    </w:p>
    <w:p>
      <w:pPr>
        <w:pStyle w:val="FirstParagraph"/>
      </w:pPr>
      <w:r>
        <w:t xml:space="preserve">Table: Elementos de la vista. {#tbl:tblelement-05.REQR.1n.RequerimientosServiciosdeIntegración-id}</w:t>
      </w:r>
    </w:p>
    <w:p>
      <w:pPr>
        <w:pStyle w:val="BodyText"/>
      </w:pPr>
    </w:p>
    <w:bookmarkEnd w:id="76"/>
    <w:bookmarkEnd w:id="77"/>
    <w:bookmarkEnd w:id="78"/>
    <w:bookmarkStart w:id="91" w:name="X61dfa82c97a3a580f97c53606d360ebf1f71057"/>
    <w:p>
      <w:pPr>
        <w:pStyle w:val="Heading1"/>
      </w:pPr>
      <w:r>
        <w:t xml:space="preserve">Modelo de Entrega y Despliegue de Requerimientos</w:t>
      </w:r>
    </w:p>
    <w:bookmarkStart w:id="84" w:name="X5c4087eb8043add2c7c48608924044494614567"/>
    <w:p>
      <w:pPr>
        <w:pStyle w:val="Heading2"/>
      </w:pPr>
      <w:r>
        <w:t xml:space="preserve">Gestión de Entregas del Requerimiento</w:t>
      </w:r>
    </w:p>
    <w:p>
      <w:pPr>
        <w:pStyle w:val="BlockText"/>
      </w:pPr>
      <w:r>
        <w:t xml:space="preserve">Integraciones JEP, 2024 Integración JEP. Softgic. Plan de Entregas del proyecto de integración JEP, iteraciones y Entregables por versión. versión 0.1.4</w:t>
      </w:r>
    </w:p>
    <w:p>
      <w:pPr>
        <w:pStyle w:val="FirstParagraph"/>
      </w:pPr>
    </w:p>
    <w:p>
      <w:pPr>
        <w:pStyle w:val="BodyText"/>
      </w:pPr>
      <w:r>
        <w:t xml:space="preserve">Documento de requerimientos, primera versión de entregas del proyecto Integraciones JEP, 2024.</w:t>
      </w:r>
    </w:p>
    <w:p>
      <w:pPr>
        <w:pStyle w:val="BodyText"/>
      </w:pPr>
      <w:r>
        <w:t xml:space="preserve">El requerimiento Integración con Sistema Conti x Plani (REQR3, en la imagen) será entregado con la primera versión que se libere de la solución de integración, actualmente en desarrollo por Softgic.</w:t>
      </w:r>
    </w:p>
    <w:p>
      <w:pPr>
        <w:pStyle w:val="BodyText"/>
      </w:pPr>
      <w:r>
        <w:t xml:space="preserve">Este requerimiento REQR3 consta de dos iteraciones (Iteración 1 y 2, en la imagen), las cuales a su vez, realizarán dos historias de integración cada una (HU01, HU02, HU03, HU04, respectivamente).</w:t>
      </w:r>
    </w:p>
    <w:p>
      <w:pPr>
        <w:pStyle w:val="BodyText"/>
      </w:pPr>
      <w:r>
        <w:t xml:space="preserve">Una vez concluidas la ejecución de las dos iteraciones, y sus historias de integración contenidas, realizaremos la entrega de los 4 primeros servicios de integración desplegables en el namespace de Openshift de desarrollo de la JEP.</w:t>
      </w:r>
    </w:p>
    <w:p>
      <w:pPr>
        <w:pStyle w:val="CaptionedFigure"/>
      </w:pPr>
      <w:r>
        <w:drawing>
          <wp:inline>
            <wp:extent cx="4016324" cy="4762500"/>
            <wp:effectExtent b="0" l="0" r="0" t="0"/>
            <wp:docPr descr="06.ENTRG.1n.1a. Gestión Entregas de Requerimientos. Fuente: Repositorio arquitectura Integración JEP (2024)" title="" id="80" name="Picture"/>
            <a:graphic>
              <a:graphicData uri="http://schemas.openxmlformats.org/drawingml/2006/picture">
                <pic:pic>
                  <pic:nvPicPr>
                    <pic:cNvPr descr="images/06.ENTRG.1n.1a.GestiónEntregasdeRequerimientos.png" id="81" name="Picture"/>
                    <pic:cNvPicPr>
                      <a:picLocks noChangeArrowheads="1" noChangeAspect="1"/>
                    </pic:cNvPicPr>
                  </pic:nvPicPr>
                  <pic:blipFill>
                    <a:blip r:embed="rId79"/>
                    <a:stretch>
                      <a:fillRect/>
                    </a:stretch>
                  </pic:blipFill>
                  <pic:spPr bwMode="auto">
                    <a:xfrm>
                      <a:off x="0" y="0"/>
                      <a:ext cx="4016324" cy="4762500"/>
                    </a:xfrm>
                    <a:prstGeom prst="rect">
                      <a:avLst/>
                    </a:prstGeom>
                    <a:noFill/>
                    <a:ln w="9525">
                      <a:noFill/>
                      <a:headEnd/>
                      <a:tailEnd/>
                    </a:ln>
                  </pic:spPr>
                </pic:pic>
              </a:graphicData>
            </a:graphic>
          </wp:inline>
        </w:drawing>
      </w:r>
    </w:p>
    <w:p>
      <w:pPr>
        <w:pStyle w:val="ImageCaption"/>
      </w:pPr>
      <w:r>
        <w:t xml:space="preserve">Figura 8: 06.ENTRG.1n.1a. Gestión Entregas de Requerimientos.</w:t>
      </w:r>
      <w:r>
        <w:t xml:space="preserve"> </w:t>
      </w:r>
      <w:r>
        <w:rPr>
          <w:iCs/>
          <w:i/>
        </w:rPr>
        <w:t xml:space="preserve">Fuente: Repositorio arquitectura Integración JEP (2024)</w:t>
      </w:r>
    </w:p>
    <w:bookmarkStart w:id="82" w:name="sec:catálogo-de-elementos-7"/>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Integrar operaciones Conti | Driver | Característica de integración de Conti contenido en la solución de integración JEP, 2024.</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82"/>
    <w:bookmarkStart w:id="83" w:name="X86137576b43553b931cb6462cf9744a43786633"/>
    <w:p>
      <w:pPr>
        <w:pStyle w:val="Heading3"/>
      </w:pPr>
      <w:r>
        <w:t xml:space="preserve">Índice de la documentación (casos de uso)</w:t>
      </w:r>
    </w:p>
    <w:p>
      <w:pPr>
        <w:numPr>
          <w:ilvl w:val="0"/>
          <w:numId w:val="1023"/>
        </w:numPr>
        <w:pStyle w:val="Compact"/>
      </w:pPr>
      <w:r>
        <w:t xml:space="preserve">Integración. Ingreso a Conti</w:t>
      </w:r>
    </w:p>
    <w:p>
      <w:pPr>
        <w:numPr>
          <w:ilvl w:val="0"/>
          <w:numId w:val="1023"/>
        </w:numPr>
        <w:pStyle w:val="Compact"/>
      </w:pPr>
      <w:r>
        <w:t xml:space="preserve">Integración. Consulta ítem de Conti</w:t>
      </w:r>
    </w:p>
    <w:p>
      <w:pPr>
        <w:numPr>
          <w:ilvl w:val="0"/>
          <w:numId w:val="1023"/>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p>
    <w:p>
      <w:pPr>
        <w:pStyle w:val="FirstParagraph"/>
      </w:pPr>
      <w:r>
        <w:t xml:space="preserve">Table: Elementos de la vista. {#tbl:tblelement-06.ENTRG.1n.1a.GestiónEntregasdeRequerimientos-id}</w:t>
      </w:r>
    </w:p>
    <w:p>
      <w:pPr>
        <w:pStyle w:val="BodyText"/>
      </w:pPr>
    </w:p>
    <w:bookmarkEnd w:id="83"/>
    <w:bookmarkEnd w:id="84"/>
    <w:bookmarkStart w:id="90" w:name="X6028379f431e1531072c15432d20de709dd8f53"/>
    <w:p>
      <w:pPr>
        <w:pStyle w:val="Heading2"/>
      </w:pPr>
      <w:r>
        <w:t xml:space="preserve">Despliegue de Entregas de Requerimientos</w:t>
      </w:r>
    </w:p>
    <w:p>
      <w:pPr>
        <w:pStyle w:val="BlockText"/>
      </w:pPr>
      <w:r>
        <w:t xml:space="preserve">Integraciones JEP, 2024 Integración JEP. Softgic. Plan de Entregas del proyecto de integración y despliegue JEP, iteraciones y Entregables por versión. versión 0.1.14</w:t>
      </w:r>
    </w:p>
    <w:p>
      <w:pPr>
        <w:pStyle w:val="FirstParagraph"/>
      </w:pPr>
    </w:p>
    <w:p>
      <w:pPr>
        <w:pStyle w:val="BodyText"/>
      </w:pPr>
      <w:r>
        <w:t xml:space="preserve">Los servicios implementados contenidos en los requerimientos se pueden desplegar sobre la red de unidades de despliegue (pods) dispuesta por la JEP y acordada con el contratista.</w:t>
      </w:r>
    </w:p>
    <w:p>
      <w:pPr>
        <w:pStyle w:val="BodyText"/>
      </w:pPr>
      <w:r>
        <w:t xml:space="preserve">En esta organización propuesta, los servicios de integración implementados pueden ser desplegados en uno, o varios contenedores, y en unidades de despliegue (pods) distintas.</w:t>
      </w:r>
    </w:p>
    <w:p>
      <w:pPr>
        <w:pStyle w:val="CaptionedFigure"/>
      </w:pPr>
      <w:r>
        <w:drawing>
          <wp:inline>
            <wp:extent cx="4374644" cy="4762500"/>
            <wp:effectExtent b="0" l="0" r="0" t="0"/>
            <wp:docPr descr="06.ENTRG.1n.1a.1. Despliegue Entregas de Requerimiento. Fuente: Repositorio arquitectura Integración JEP (2024)" title="" id="86" name="Picture"/>
            <a:graphic>
              <a:graphicData uri="http://schemas.openxmlformats.org/drawingml/2006/picture">
                <pic:pic>
                  <pic:nvPicPr>
                    <pic:cNvPr descr="images/06.ENTRG.1n.1a.1.DespliegueEntregasdeRequerimiento.png" id="87" name="Picture"/>
                    <pic:cNvPicPr>
                      <a:picLocks noChangeArrowheads="1" noChangeAspect="1"/>
                    </pic:cNvPicPr>
                  </pic:nvPicPr>
                  <pic:blipFill>
                    <a:blip r:embed="rId85"/>
                    <a:stretch>
                      <a:fillRect/>
                    </a:stretch>
                  </pic:blipFill>
                  <pic:spPr bwMode="auto">
                    <a:xfrm>
                      <a:off x="0" y="0"/>
                      <a:ext cx="4374644" cy="4762500"/>
                    </a:xfrm>
                    <a:prstGeom prst="rect">
                      <a:avLst/>
                    </a:prstGeom>
                    <a:noFill/>
                    <a:ln w="9525">
                      <a:noFill/>
                      <a:headEnd/>
                      <a:tailEnd/>
                    </a:ln>
                  </pic:spPr>
                </pic:pic>
              </a:graphicData>
            </a:graphic>
          </wp:inline>
        </w:drawing>
      </w:r>
    </w:p>
    <w:p>
      <w:pPr>
        <w:pStyle w:val="ImageCaption"/>
      </w:pPr>
      <w:r>
        <w:t xml:space="preserve">Figura 9: 06.ENTRG.1n.1a.1. Despliegue Entregas de Requerimiento.</w:t>
      </w:r>
      <w:r>
        <w:t xml:space="preserve"> </w:t>
      </w:r>
      <w:r>
        <w:rPr>
          <w:iCs/>
          <w:i/>
        </w:rPr>
        <w:t xml:space="preserve">Fuente: Repositorio arquitectura Integración JEP (2024)</w:t>
      </w:r>
    </w:p>
    <w:bookmarkStart w:id="88" w:name="sec:catálogo-de-elementos-8"/>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Integrar operaciones Conti | Driver | Característica de integración de Conti contenido en la solución de integración JEP, 2024.</w:t>
      </w:r>
      <w:r>
        <w:t xml:space="preserve"> </w:t>
      </w:r>
      <w:r>
        <w:t xml:space="preserve">|</w:t>
      </w:r>
      <w:r>
        <w:t xml:space="preserve"> </w:t>
      </w:r>
      <w:r>
        <w:t xml:space="preserve">| Intermediador (cola o bus) | Application Component | Bus de Red Hat, aplicación cliente Quarkus, o intermediador de integración Apache Camel. |</w:t>
      </w:r>
      <w:r>
        <w:t xml:space="preserve"> </w:t>
      </w:r>
      <w:r>
        <w:t xml:space="preserve">| Mensaje respuesta o excepción | Data Object | Formato predefinido de intercambio de datos. |</w:t>
      </w:r>
      <w:r>
        <w:t xml:space="preserve"> </w:t>
      </w:r>
      <w:r>
        <w:t xml:space="preserve">| Mensaje solicitud | Data Object | Formato predefinido de intercambio de datos. |</w:t>
      </w:r>
      <w:r>
        <w:t xml:space="preserve"> </w:t>
      </w:r>
      <w:r>
        <w:t xml:space="preserve">| Nodo Integración JEP (worker) | Application Collaboration | Nodo lógico en donde corren los contenedores.</w:t>
      </w:r>
      <w:r>
        <w:t xml:space="preserve"> </w:t>
      </w:r>
      <w:r>
        <w:t xml:space="preserve">|</w:t>
      </w:r>
      <w:r>
        <w:t xml:space="preserve"> </w:t>
      </w:r>
      <w:r>
        <w:t xml:space="preserve">| Nodo Intermediador | Application Interface | Nodo lógico en donde corren los contenedores.</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88"/>
    <w:bookmarkStart w:id="89" w:name="X8867828d71e0b0cd7cb7e8656d52568a93ea2ef"/>
    <w:p>
      <w:pPr>
        <w:pStyle w:val="Heading3"/>
      </w:pPr>
      <w:r>
        <w:t xml:space="preserve">Índice de la documentación (casos de uso)</w:t>
      </w:r>
    </w:p>
    <w:p>
      <w:pPr>
        <w:numPr>
          <w:ilvl w:val="0"/>
          <w:numId w:val="1025"/>
        </w:numPr>
        <w:pStyle w:val="Compact"/>
      </w:pPr>
      <w:r>
        <w:t xml:space="preserve">Integración. Ingreso a Conti</w:t>
      </w:r>
    </w:p>
    <w:p>
      <w:pPr>
        <w:numPr>
          <w:ilvl w:val="0"/>
          <w:numId w:val="1025"/>
        </w:numPr>
        <w:pStyle w:val="Compact"/>
      </w:pPr>
      <w:r>
        <w:t xml:space="preserve">Integración. Consulta ítem de Conti</w:t>
      </w:r>
    </w:p>
    <w:p>
      <w:pPr>
        <w:numPr>
          <w:ilvl w:val="0"/>
          <w:numId w:val="1025"/>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p>
    <w:p>
      <w:pPr>
        <w:pStyle w:val="FirstParagraph"/>
      </w:pPr>
      <w:r>
        <w:t xml:space="preserve">Table: Elementos de la vista. {#tbl:tblelement-06.ENTRG.1n.1a.1.DespliegueEntregasdeRequerimiento-id}</w:t>
      </w:r>
    </w:p>
    <w:p>
      <w:pPr>
        <w:pStyle w:val="BodyText"/>
      </w:pPr>
    </w:p>
    <w:bookmarkEnd w:id="89"/>
    <w:bookmarkEnd w:id="90"/>
    <w:bookmarkEnd w:id="91"/>
    <w:sectPr w:rsidR="00CD4570" w:rsidSect="000F28BE">
      <w:headerReference r:id="rId9" w:type="default"/>
      <w:footerReference r:id="rId11" w:type="even"/>
      <w:footerReference r:id="rId10" w:type="defaul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179918"/>
      <w:docPartObj>
        <w:docPartGallery w:val="Page Numbers (Bottom of Page)"/>
        <w:docPartUnique/>
      </w:docPartObj>
    </w:sdtPr>
    <w:sdtContent>
      <w:p w14:paraId="1C8F9537" w14:textId="257F2CB7"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6853" w14:textId="77777777" w:rsidR="003064EE" w:rsidRDefault="003064EE" w:rsidP="003064E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770471"/>
      <w:docPartObj>
        <w:docPartGallery w:val="Page Numbers (Bottom of Page)"/>
        <w:docPartUnique/>
      </w:docPartObj>
    </w:sdtPr>
    <w:sdtContent>
      <w:p w14:paraId="6E3F5B7A" w14:textId="6112E84F"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FC5FD0" w14:textId="77777777" w:rsidR="003064EE" w:rsidRDefault="003064EE" w:rsidP="003064EE">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6">
    <w:p>
      <w:pPr>
        <w:pStyle w:val="FootnoteText"/>
      </w:pPr>
      <w:r>
        <w:rPr>
          <w:rStyle w:val="FootnoteReference"/>
        </w:rPr>
        <w:footnoteRef/>
      </w:r>
      <w:r>
        <w:t xml:space="preserve"> </w:t>
      </w:r>
      <w:r>
        <w:t xml:space="preserve">Red troncal de comunicaciones: a medida que más y más aplicaciones de una empresa se conectan al sistema de mensajería y hacen que su funcionalidad esté disponible a través de la mensajería, el sistema de mensajería se convierte en un punto centralizado de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r>
        <w:t xml:space="preserve"> </w:t>
      </w:r>
      <w:r>
        <w:t xml:space="preserve">|</w:t>
      </w:r>
      <w:r>
        <w:t xml:space="preserve"> </w:t>
      </w:r>
      <w:r>
        <w:t xml:space="preserve">| Tecnologías | Capability | * Red Hat Integration: suite de runtimes, frameworks, y servicios para aplicaciones nativas de Red Hat OpenShift.</w:t>
      </w:r>
      <w:r>
        <w:t xml:space="preserve"> </w:t>
      </w:r>
      <w:r>
        <w:t xml:space="preserve">* Camel Integration Tool</w:t>
      </w:r>
      <w:r>
        <w:t xml:space="preserve"> </w:t>
      </w:r>
      <w:r>
        <w:t xml:space="preserve">* Quarkus development framework</w:t>
      </w:r>
      <w:r>
        <w:t xml:space="preserve"> </w:t>
      </w:r>
      <w:r>
        <w:t xml:space="preserve">* Java OpenJDK 17</w:t>
      </w:r>
      <w:r>
        <w:t xml:space="preserve"> </w:t>
      </w:r>
      <w:r>
        <w:t xml:space="preserve">* EFK (Elasticsearch, FluentD, Kibana - ELKstack)</w:t>
      </w:r>
      <w:r>
        <w:t xml:space="preserve"> </w:t>
      </w:r>
      <w:r>
        <w:t xml:space="preserve">|</w:t>
      </w:r>
      <w:r>
        <w:t xml:space="preserve"> </w:t>
      </w:r>
      <w:r>
        <w:t xml:space="preserve">| Tipo de Comunicación | Capability | Pasar llamadas síncronas a asincrónicas: analizar apps que deben cambiar comunicación |</w:t>
      </w:r>
      <w:r>
        <w:t xml:space="preserve"> </w:t>
      </w:r>
      <w:r>
        <w:t xml:space="preserve">| Transformación de Mensajes | Capability | Mapeos, homologaciones y correspondencias.</w:t>
      </w:r>
      <w:r>
        <w:t xml:space="preserve"> </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6CB0C267" w:rsidR="00B66951" w:rsidRDefault="003064EE">
    <w:pPr>
      <w:pStyle w:val="Header"/>
    </w:pPr>
    <w:r>
      <w:rPr>
        <w:noProof/>
      </w:rPr>
      <w:drawing>
        <wp:inline distT="0" distB="0" distL="0" distR="0" wp14:anchorId="541ECA73" wp14:editId="6ACC2B11">
          <wp:extent cx="2019300" cy="45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019300" cy="457200"/>
                  </a:xfrm>
                  <a:prstGeom prst="rect">
                    <a:avLst/>
                  </a:prstGeom>
                </pic:spPr>
              </pic:pic>
            </a:graphicData>
          </a:graphic>
        </wp:inline>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050F87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AA2D88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0B277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AE0528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242ECC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6DEA84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0F87D8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4EA2DB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FC076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AE29EE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04085470" w:numId="1">
    <w:abstractNumId w:val="10"/>
  </w:num>
  <w:num w16cid:durableId="2040474718" w:numId="2">
    <w:abstractNumId w:val="0"/>
  </w:num>
  <w:num w16cid:durableId="1760634308" w:numId="3">
    <w:abstractNumId w:val="1"/>
  </w:num>
  <w:num w16cid:durableId="821854148" w:numId="4">
    <w:abstractNumId w:val="2"/>
  </w:num>
  <w:num w16cid:durableId="1093284714" w:numId="5">
    <w:abstractNumId w:val="3"/>
  </w:num>
  <w:num w16cid:durableId="852036758" w:numId="6">
    <w:abstractNumId w:val="8"/>
  </w:num>
  <w:num w16cid:durableId="1976258658" w:numId="7">
    <w:abstractNumId w:val="4"/>
  </w:num>
  <w:num w16cid:durableId="1852714736" w:numId="8">
    <w:abstractNumId w:val="5"/>
  </w:num>
  <w:num w16cid:durableId="886453774" w:numId="9">
    <w:abstractNumId w:val="6"/>
  </w:num>
  <w:num w16cid:durableId="2078747256" w:numId="10">
    <w:abstractNumId w:val="7"/>
  </w:num>
  <w:num w16cid:durableId="143351314"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2"/>
  <w:embedSystemFonts/>
  <w:mirrorMargins/>
  <w:proofState w:spelling="clean"/>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1C203A"/>
    <w:pPr>
      <w:keepNext/>
      <w:keepLines/>
      <w:numPr>
        <w:numId w:val="1"/>
      </w:numPr>
      <w:spacing w:after="0" w:before="480" w:line="240" w:lineRule="auto"/>
      <w:outlineLvl w:val="0"/>
    </w:pPr>
    <w:rPr>
      <w:rFonts w:ascii="Myriad Pro Semibold Condensed" w:cstheme="majorBidi" w:eastAsiaTheme="majorEastAsia" w:hAnsi="Myriad Pro Semibold Condensed"/>
      <w:b/>
      <w:bCs/>
      <w:color w:themeColor="text1" w:val="000000"/>
      <w:sz w:val="40"/>
      <w:szCs w:val="32"/>
    </w:rPr>
  </w:style>
  <w:style w:styleId="Heading2" w:type="paragraph">
    <w:name w:val="heading 2"/>
    <w:basedOn w:val="Heading1"/>
    <w:next w:val="BodyText"/>
    <w:uiPriority w:val="9"/>
    <w:unhideWhenUsed/>
    <w:qFormat/>
    <w:rsid w:val="009A23FA"/>
    <w:pPr>
      <w:numPr>
        <w:ilvl w:val="1"/>
      </w:numPr>
      <w:ind w:hanging="578" w:left="578"/>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1"/>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1"/>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1"/>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1"/>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1"/>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1"/>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96DD6"/>
    <w:pPr>
      <w:spacing w:after="180" w:before="180"/>
      <w:jc w:val="both"/>
    </w:pPr>
    <w:rPr>
      <w:rFonts w:ascii="Bahnschrift Light" w:hAnsi="Bahnschrift Light"/>
    </w:rPr>
  </w:style>
  <w:style w:customStyle="1" w:styleId="FirstParagraph" w:type="paragraph">
    <w:name w:val="First Paragraph"/>
    <w:basedOn w:val="BodyText"/>
    <w:next w:val="BodyText"/>
    <w:qFormat/>
    <w:rsid w:val="009553C7"/>
  </w:style>
  <w:style w:customStyle="1" w:styleId="Compact" w:type="paragraph">
    <w:name w:val="Compact"/>
    <w:basedOn w:val="BodyText"/>
    <w:qFormat/>
    <w:pPr>
      <w:spacing w:after="36" w:before="36"/>
    </w:pPr>
  </w:style>
  <w:style w:styleId="Title" w:type="paragraph">
    <w:name w:val="Title"/>
    <w:basedOn w:val="Normal"/>
    <w:next w:val="BodyText"/>
    <w:qFormat/>
    <w:rsid w:val="009553C7"/>
    <w:pPr>
      <w:keepNext/>
      <w:keepLines/>
      <w:spacing w:after="240" w:before="480"/>
    </w:pPr>
    <w:rPr>
      <w:rFonts w:asciiTheme="majorHAnsi" w:cstheme="majorBidi" w:eastAsiaTheme="majorEastAsia" w:hAnsiTheme="majorHAnsi"/>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rsid w:val="00906E46"/>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shd w:color="auto" w:fill="00B0F0" w:val="clear"/>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996DD6"/>
    <w:rPr>
      <w:rFonts w:ascii="Bahnschrift Light" w:hAnsi="Bahnschrift Light"/>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iPriority w:val="99"/>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uiPriority w:val="99"/>
    <w:rsid w:val="00B66951"/>
    <w:rPr>
      <w:rFonts w:ascii="Minion Pro" w:hAnsi="Minion Pro"/>
    </w:rPr>
  </w:style>
  <w:style w:styleId="PageNumber" w:type="character">
    <w:name w:val="page number"/>
    <w:basedOn w:val="DefaultParagraphFont"/>
    <w:semiHidden/>
    <w:unhideWhenUsed/>
    <w:rsid w:val="003064EE"/>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2.xml" Type="http://schemas.openxmlformats.org/officeDocument/2006/relationships/footer" /><Relationship Id="rId11" Target="footer1.xml" Type="http://schemas.openxmlformats.org/officeDocument/2006/relationships/footer" /><Relationship Type="http://schemas.openxmlformats.org/officeDocument/2006/relationships/image" Id="rId27" Target="media/rId27.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85" Target="media/rId85.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Interoperabilidad JEP, 2024</dc:title>
  <dc:creator/>
  <dc:language>en</dc:language>
  <dc:subject>Implementación Proyecto</dc:subject>
  <cp:keywords>Integración, Interoperabilidad, JEP, Softgic</cp:keywords>
  <dcterms:created xsi:type="dcterms:W3CDTF">2024-11-08T15:25:27Z</dcterms:created>
  <dcterms:modified xsi:type="dcterms:W3CDTF">2024-11-08T15:25:27Z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2024-09-16</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nos-caption-name">
    <vt:lpwstr>Imagen</vt:lpwstr>
  </property>
  <property fmtid="{D5CDD505-2E9C-101B-9397-08002B2CF9AE}" pid="26" name="fignos-cleveref">
    <vt:lpwstr>True</vt:lpwstr>
  </property>
  <property fmtid="{D5CDD505-2E9C-101B-9397-08002B2CF9AE}" pid="27" name="fignos-plus-name">
    <vt:lpwstr>Fig.</vt:lpwstr>
  </property>
  <property fmtid="{D5CDD505-2E9C-101B-9397-08002B2CF9AE}" pid="28" name="figureTemplate">
    <vt:lpwstr>figureTitle ititleDelim t</vt:lpwstr>
  </property>
  <property fmtid="{D5CDD505-2E9C-101B-9397-08002B2CF9AE}" pid="29" name="figureTitle">
    <vt:lpwstr>Figura</vt:lpwstr>
  </property>
  <property fmtid="{D5CDD505-2E9C-101B-9397-08002B2CF9AE}" pid="30" name="geometry">
    <vt:lpwstr/>
  </property>
  <property fmtid="{D5CDD505-2E9C-101B-9397-08002B2CF9AE}" pid="31" name="header-left">
    <vt:lpwstr>include/jeplogo.jpg</vt:lpwstr>
  </property>
  <property fmtid="{D5CDD505-2E9C-101B-9397-08002B2CF9AE}" pid="32" name="lastDelim">
    <vt:lpwstr>, </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Lista de Figuras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Listas del Documento</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Lista de Tablas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rangeDelim">
    <vt:lpwstr>-</vt:lpwstr>
  </property>
  <property fmtid="{D5CDD505-2E9C-101B-9397-08002B2CF9AE}" pid="54" name="refDelim">
    <vt:lpwstr>, </vt:lpwstr>
  </property>
  <property fmtid="{D5CDD505-2E9C-101B-9397-08002B2CF9AE}" pid="55" name="refIndexTemplate">
    <vt:lpwstr>isuf</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Implementación Proyecto Evolución de Interoperabilidad JEP, Softgic</vt:lpwstr>
  </property>
  <property fmtid="{D5CDD505-2E9C-101B-9397-08002B2CF9AE}" pid="68" name="tableEqns">
    <vt:lpwstr>False</vt:lpwstr>
  </property>
  <property fmtid="{D5CDD505-2E9C-101B-9397-08002B2CF9AE}" pid="69" name="tableTemplate">
    <vt:lpwstr>tableTitle ititleDelimt</vt:lpwstr>
  </property>
  <property fmtid="{D5CDD505-2E9C-101B-9397-08002B2CF9AE}" pid="70" name="tableTitle">
    <vt:lpwstr>Tabla</vt:lpwstr>
  </property>
  <property fmtid="{D5CDD505-2E9C-101B-9397-08002B2CF9AE}" pid="71" name="tablenos-caption-name">
    <vt:lpwstr>Tabla</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itlepage">
    <vt:lpwstr>True</vt:lpwstr>
  </property>
  <property fmtid="{D5CDD505-2E9C-101B-9397-08002B2CF9AE}" pid="77" name="titlepage-rule-color">
    <vt:lpwstr>360049</vt:lpwstr>
  </property>
</Properties>
</file>