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60.png" ContentType="image/png"/>
  <Override PartName="/word/media/rId66.png" ContentType="image/png"/>
  <Override PartName="/word/media/rId73.png" ContentType="image/png"/>
  <Override PartName="/word/media/rId89.png" ContentType="image/png"/>
  <Override PartName="/word/media/rId95.png" ContentType="image/png"/>
  <Override PartName="/word/media/rId11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1.4fdd500</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Tue,</w:t>
      </w:r>
      <w:r>
        <w:t xml:space="preserve"> </w:t>
      </w:r>
      <w:r>
        <w:t xml:space="preserve">19</w:t>
      </w:r>
      <w:r>
        <w:t xml:space="preserve"> </w:t>
      </w:r>
      <w:r>
        <w:t xml:space="preserve">Nov</w:t>
      </w:r>
      <w:r>
        <w:t xml:space="preserve"> </w:t>
      </w:r>
      <w:r>
        <w:t xml:space="preserve">2024</w:t>
      </w:r>
      <w:r>
        <w:t xml:space="preserve"> </w:t>
      </w:r>
      <w:r>
        <w:t xml:space="preserve">21:58:36</w:t>
      </w:r>
      <w:r>
        <w:t xml:space="preserve"> </w:t>
      </w:r>
      <w:r>
        <w:t xml:space="preserve">+0000</w:t>
      </w:r>
    </w:p>
    <w:p>
      <w:pPr>
        <w:pStyle w:val="Date"/>
      </w:pPr>
      <w:r>
        <w:t xml:space="preserve">2024-11-8</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1.4fdd500 - Compilación para entrega - Tue, 19 Nov 2024 21:58:36 +0000</w:t>
      </w:r>
    </w:p>
    <w:p>
      <w:pPr>
        <w:pStyle w:val="BodyText"/>
      </w:pPr>
      <w:r>
        <w:t xml:space="preserve">Versiones Anteriores</w:t>
      </w:r>
    </w:p>
    <w:p>
      <w:pPr>
        <w:pStyle w:val="BodyText"/>
      </w:pPr>
      <w:r>
        <w:t xml:space="preserve">1.a541bff - Compilación para entrega - Fri, 8 Nov 2024 20:43:59 +0000</w:t>
      </w:r>
    </w:p>
    <w:p>
      <w:pPr>
        <w:pStyle w:val="BodyText"/>
      </w:pPr>
      <w:r>
        <w:t xml:space="preserve">1.544d74d - Compilación para entrega - Fri, 8 Nov 2024 17:44:18 +0000</w:t>
      </w:r>
    </w:p>
    <w:p>
      <w:pPr>
        <w:pStyle w:val="BodyText"/>
      </w:pPr>
      <w:r>
        <w:t xml:space="preserve">1.7234525 - Compilación para entrega - Fri, 8 Nov 2024 17:36:22 +0000</w:t>
      </w:r>
    </w:p>
    <w:p>
      <w:pPr>
        <w:pStyle w:val="BodyText"/>
      </w:pPr>
      <w:r>
        <w:t xml:space="preserve">1.cc57a63 - Compilación para entrega - Fri, 8 Nov 2024 16:13:58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0.1.3</w:t>
      </w:r>
    </w:p>
    <w:p>
      <w:pPr>
        <w:pStyle w:val="FirstParagraph"/>
      </w:pPr>
    </w:p>
    <w:p>
      <w:pPr>
        <w:pStyle w:val="BodyText"/>
      </w:pPr>
      <w:r>
        <w:t xml:space="preserve">Las división de trabajo conveniente según las condiciones contractuales y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Procesos de Ingeniería Software</w:t>
      </w:r>
      <w:r>
        <w:t xml:space="preserve">.</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Plan Producción: Scrum y Gerencia</w:t>
      </w:r>
      <w:r>
        <w:t xml:space="preserve">.</w:t>
      </w:r>
    </w:p>
    <w:p>
      <w:pPr>
        <w:numPr>
          <w:ilvl w:val="0"/>
          <w:numId w:val="1007"/>
        </w:numPr>
      </w:pPr>
      <w:r>
        <w:rPr>
          <w:bCs/>
          <w:b/>
        </w:rPr>
        <w:t xml:space="preserve">Plan Producción: Ingeniería (Red Hat DevOps)</w:t>
      </w:r>
      <w:r>
        <w:t xml:space="preserve">.</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UT (tarea)</w:t>
      </w:r>
      <w:r>
        <w:t xml:space="preserve">. Unidad mínima de trabajo (tarea por desarrollador).</w:t>
      </w:r>
    </w:p>
    <w:p>
      <w:pPr>
        <w:numPr>
          <w:ilvl w:val="0"/>
          <w:numId w:val="1007"/>
        </w:numPr>
      </w:pPr>
      <w:r>
        <w:rPr>
          <w:bCs/>
          <w:b/>
        </w:rPr>
        <w:t xml:space="preserve">DEV</w:t>
      </w:r>
      <w:r>
        <w:t xml:space="preserve">. Alcance de QA unitaria</w:t>
      </w:r>
    </w:p>
    <w:p>
      <w:pPr>
        <w:numPr>
          <w:ilvl w:val="0"/>
          <w:numId w:val="1007"/>
        </w:numPr>
      </w:pPr>
      <w:r>
        <w:rPr>
          <w:bCs/>
          <w:b/>
        </w:rPr>
        <w:t xml:space="preserve">CI/CD</w:t>
      </w:r>
      <w:r>
        <w:t xml:space="preserve">. Actividades DevOps del ciclo o iteración de implementación.</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9"/>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9"/>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9"/>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9"/>
        </w:numPr>
      </w:pPr>
      <w:r>
        <w:t xml:space="preserve">Scrum, Funcional, Dueño producto cliente (requiere conocimiento del negocio).</w:t>
      </w:r>
    </w:p>
    <w:p>
      <w:pPr>
        <w:numPr>
          <w:ilvl w:val="0"/>
          <w:numId w:val="1009"/>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49"/>
    <w:bookmarkEnd w:id="50"/>
    <w:bookmarkEnd w:id="51"/>
    <w:bookmarkStart w:id="72"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9"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p>
      <w:pPr>
        <w:pStyle w:val="FirstParagraph"/>
      </w:pPr>
      <w:r>
        <w:rPr>
          <w:bCs/>
          <w:b/>
        </w:rPr>
        <w:t xml:space="preserve">Gestión Integración</w:t>
      </w:r>
    </w:p>
    <w:p>
      <w:pPr>
        <w:pStyle w:val="BodyText"/>
      </w:pPr>
      <w:r>
        <w:rPr>
          <w:bCs/>
          <w:b/>
        </w:rPr>
        <w:t xml:space="preserve">Objeto Contractual Proyecto JEP</w:t>
      </w:r>
      <w:r>
        <w:t xml:space="preserve"> </w:t>
      </w:r>
      <w:r>
        <w:t xml:space="preserve">Prestar los servicios de administración y monitoreo de la solución de interoperabilidad de los sistemas de información de la JEP; así como la implementación de nuevos desarrollos o parametrizaciones que esta solución requiera.</w:t>
      </w:r>
      <w:r>
        <w:t xml:space="preserve"> </w:t>
      </w:r>
      <w:r>
        <w:rPr>
          <w:bCs/>
          <w:b/>
        </w:rPr>
        <w:t xml:space="preserve">Justificación Proyecto Integración JEP</w:t>
      </w:r>
      <w:r>
        <w:t xml:space="preserve"> </w:t>
      </w:r>
      <w:r>
        <w:t xml:space="preserve">Justificación Proyecto Integración JEP | Driver | Justification: Evolución de la Plataforma de Interoperabilidad para el ano 2024</w:t>
      </w:r>
    </w:p>
    <w:p>
      <w:pPr>
        <w:numPr>
          <w:ilvl w:val="0"/>
          <w:numId w:val="1013"/>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3"/>
        </w:numPr>
        <w:pStyle w:val="Compact"/>
      </w:pPr>
      <w:r>
        <w:t xml:space="preserve">Interoperabilidad con las entidades externas que demandan información de la JEP</w:t>
      </w:r>
    </w:p>
    <w:p>
      <w:pPr>
        <w:numPr>
          <w:ilvl w:val="0"/>
          <w:numId w:val="1013"/>
        </w:numPr>
        <w:pStyle w:val="Compact"/>
      </w:pPr>
      <w:r>
        <w:t xml:space="preserve">Evolución del modelo de interoperabilidad interna y gobierno de data maestra entre sistemas internos</w:t>
      </w:r>
    </w:p>
    <w:p>
      <w:pPr>
        <w:pStyle w:val="FirstParagraph"/>
      </w:pPr>
      <w:r>
        <w:rPr>
          <w:bCs/>
          <w:b/>
        </w:rPr>
        <w:t xml:space="preserve">Alcance Proyecto Integración</w:t>
      </w:r>
      <w:r>
        <w:t xml:space="preserve"> </w:t>
      </w:r>
      <w:r>
        <w:t xml:space="preserve">Es del alcance del proyecto</w:t>
      </w:r>
    </w:p>
    <w:p>
      <w:pPr>
        <w:numPr>
          <w:ilvl w:val="0"/>
          <w:numId w:val="1014"/>
        </w:numPr>
        <w:pStyle w:val="Compact"/>
      </w:pPr>
      <w:r>
        <w:t xml:space="preserve">Implementación de 20 o más servicios de integración al 31 de diciembre del 2024.</w:t>
      </w:r>
    </w:p>
    <w:p>
      <w:pPr>
        <w:numPr>
          <w:ilvl w:val="0"/>
          <w:numId w:val="1014"/>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rPr>
          <w:bCs/>
          <w:b/>
        </w:rPr>
        <w:t xml:space="preserve">Requerimientos integración JEP</w:t>
      </w:r>
      <w:r>
        <w:t xml:space="preserve"> </w:t>
      </w:r>
      <w:r>
        <w:t xml:space="preserve">Del alcance del proyecto,</w:t>
      </w:r>
    </w:p>
    <w:p>
      <w:pPr>
        <w:numPr>
          <w:ilvl w:val="0"/>
          <w:numId w:val="1015"/>
        </w:numPr>
        <w:pStyle w:val="Compact"/>
      </w:pPr>
      <w:r>
        <w:t xml:space="preserve">Implementación de 20 o más servicios de integración al 31 de diciembre del 2024.</w:t>
      </w:r>
    </w:p>
    <w:p>
      <w:pPr>
        <w:numPr>
          <w:ilvl w:val="0"/>
          <w:numId w:val="1015"/>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6"/>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6"/>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6"/>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rPr>
          <w:bCs/>
          <w:b/>
        </w:rPr>
        <w:t xml:space="preserve">Condiciones generales del proyecto</w:t>
      </w:r>
      <w:r>
        <w:t xml:space="preserve"> </w:t>
      </w:r>
      <w:r>
        <w:t xml:space="preserve">Son condiciones generales de la solución aquellas que inciden en la gestión del proyecto, entrega de productos contractuales y el desarrollo del software de integración, las siguientes:</w:t>
      </w:r>
    </w:p>
    <w:p>
      <w:pPr>
        <w:numPr>
          <w:ilvl w:val="0"/>
          <w:numId w:val="1017"/>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7"/>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7"/>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7"/>
        </w:numPr>
        <w:pStyle w:val="Compact"/>
      </w:pPr>
      <w:r>
        <w:t xml:space="preserve">Para efectos de mantener la continuidad de las entregas, sin perjudicar ni a la calidad, ni a la aceptación de esta solución de integración, aquellas capacidades de las aplicaciones de software de la JEP que generen dependencias o que no estén disponibles al momento del desarrollo de los servicios de integración de esta solución serán provistas por Softgic y funcionarán como sustitutas equivalentes.</w:t>
      </w:r>
    </w:p>
    <w:p>
      <w:pPr>
        <w:pStyle w:val="FirstParagraph"/>
      </w:pPr>
      <w:r>
        <w:t xml:space="preserve">Estas condiciones generales deben ser observadas e informadas a todas las partes.</w:t>
      </w:r>
    </w:p>
    <w:p>
      <w:pPr>
        <w:pStyle w:val="BodyText"/>
      </w:pPr>
      <w:r>
        <w:rPr>
          <w:bCs/>
          <w:b/>
        </w:rPr>
        <w:t xml:space="preserve">Modelo de Integración JEP, 2024. Softgic</w:t>
      </w:r>
    </w:p>
    <w:p>
      <w:pPr>
        <w:pStyle w:val="BodyText"/>
      </w:pPr>
      <w:r>
        <w:rPr>
          <w:bCs/>
          <w:b/>
        </w:rPr>
        <w:t xml:space="preserve">Sistema de Mensajes</w:t>
      </w:r>
      <w:r>
        <w:t xml:space="preserve"> </w:t>
      </w:r>
      <w:r>
        <w:t xml:space="preserve">Esta solución de interoperabilidad usa un sistema de mensajes (comandos). Los mensajes son de tipo petición, respuesta o excepción.</w:t>
      </w:r>
    </w:p>
    <w:p>
      <w:pPr>
        <w:pStyle w:val="BodyText"/>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p>
    <w:p>
      <w:pPr>
        <w:pStyle w:val="BodyText"/>
      </w:pPr>
      <w:r>
        <w:rPr>
          <w:bCs/>
          <w:b/>
        </w:rPr>
        <w:t xml:space="preserve">04.ING.3n.3. Sistema de Mensajería Integración JEP</w:t>
      </w:r>
      <w:r>
        <w:t xml:space="preserve"> </w:t>
      </w: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BodyText"/>
      </w:pPr>
      <w:r>
        <w:rPr>
          <w:bCs/>
          <w:b/>
        </w:rPr>
        <w:t xml:space="preserve">Tipo de Comunicación</w:t>
      </w:r>
      <w:r>
        <w:t xml:space="preserve"> </w:t>
      </w:r>
      <w:r>
        <w:t xml:space="preserve">Pasar llamadas síncronas a asincrónicas: analizar apps que deben cambiar comunicación</w:t>
      </w:r>
      <w:r>
        <w:t xml:space="preserve"> </w:t>
      </w:r>
      <w:r>
        <w:rPr>
          <w:bCs/>
          <w:b/>
        </w:rPr>
        <w:t xml:space="preserve">Condiciones técnicas de la Integración</w:t>
      </w:r>
    </w:p>
    <w:p>
      <w:pPr>
        <w:numPr>
          <w:ilvl w:val="0"/>
          <w:numId w:val="1018"/>
        </w:numPr>
      </w:pPr>
      <w:r>
        <w:t xml:space="preserve">Uso de infraestructura, almacenamiento y cómputo de la JEP: Openshift Platform, bus empresarial, seguridad de la empresa, tecnología de clusters y contenedores, y Prometheus como la herramienta de monitoreo de servicios.</w:t>
      </w:r>
    </w:p>
    <w:p>
      <w:pPr>
        <w:numPr>
          <w:ilvl w:val="0"/>
          <w:numId w:val="1018"/>
        </w:numPr>
      </w:pPr>
      <w:r>
        <w:t xml:space="preserve">Monitoreo de uso de los recursos de procesamiento, red y memoria de los componentes claves de la solución haciendo uso de ServiceMesh.</w:t>
      </w:r>
    </w:p>
    <w:p>
      <w:pPr>
        <w:numPr>
          <w:ilvl w:val="0"/>
          <w:numId w:val="1018"/>
        </w:numPr>
      </w:pPr>
      <w:r>
        <w:t xml:space="preserve">La solución soporta la habilitación de reglas de alertas sobre los registros de actividad y monitoreo.</w:t>
      </w:r>
    </w:p>
    <w:p>
      <w:pPr>
        <w:numPr>
          <w:ilvl w:val="0"/>
          <w:numId w:val="1018"/>
        </w:numPr>
      </w:pPr>
      <w:r>
        <w:t xml:space="preserve">Soluciones de EFK (Elasticsearch, FluentD, Kibana - ELKstack), a través de operadores para centralizar el proceso de logs que se generan en diferentes espacios de trabajo.</w:t>
      </w:r>
    </w:p>
    <w:p>
      <w:pPr>
        <w:pStyle w:val="FirstParagraph"/>
      </w:pPr>
      <w:r>
        <w:t xml:space="preserve">Estas condiciones técnicas y tecnológicas deben ser observadas e informadas a todas las partes.</w:t>
      </w:r>
    </w:p>
    <w:p>
      <w:pPr>
        <w:pStyle w:val="BodyText"/>
      </w:pPr>
      <w:r>
        <w:rPr>
          <w:bCs/>
          <w:b/>
        </w:rPr>
        <w:t xml:space="preserve">Solución de Integración</w:t>
      </w:r>
      <w:r>
        <w:t xml:space="preserve"> </w:t>
      </w:r>
      <w:r>
        <w:t xml:space="preserve">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rPr>
          <w:bCs/>
          <w:b/>
        </w:rPr>
        <w:t xml:space="preserve">04.ING.3n.3. Sistema de Mensajería Integración JEP</w:t>
      </w:r>
      <w:r>
        <w:t xml:space="preserve"> </w:t>
      </w: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BodyText"/>
      </w:pPr>
      <w:r>
        <w:rPr>
          <w:bCs/>
          <w:b/>
        </w:rPr>
        <w:t xml:space="preserve">Transformación de Mensajes</w:t>
      </w:r>
      <w:r>
        <w:t xml:space="preserve"> </w:t>
      </w:r>
      <w:r>
        <w:t xml:space="preserve">Mapeos, homologaciones y correspondencias.</w:t>
      </w:r>
    </w:p>
    <w:p>
      <w:pPr>
        <w:pStyle w:val="BodyText"/>
      </w:pPr>
      <w:r>
        <w:rPr>
          <w:bCs/>
          <w:b/>
        </w:rPr>
        <w:t xml:space="preserve">Composición de Servicios</w:t>
      </w:r>
      <w:r>
        <w:t xml:space="preserve"> </w:t>
      </w:r>
      <w:r>
        <w:t xml:space="preserve">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p>
    <w:p>
      <w:pPr>
        <w:pStyle w:val="BodyText"/>
      </w:pPr>
      <w:r>
        <w:rPr>
          <w:bCs/>
          <w:b/>
        </w:rPr>
        <w:t xml:space="preserve">Ambientes y Herramientas</w:t>
      </w:r>
      <w:r>
        <w:t xml:space="preserve"> </w:t>
      </w:r>
      <w:r>
        <w:t xml:space="preserve">Esta solución de interoperabilidad usa las herramientas, librerías, ambientes, infraestructura productivo y no productivos (nodos, redes, almacenamientos, y otros) indicados por la JEP.</w:t>
      </w:r>
    </w:p>
    <w:p>
      <w:pPr>
        <w:pStyle w:val="BodyText"/>
      </w:pPr>
      <w:r>
        <w:rPr>
          <w:bCs/>
          <w:b/>
        </w:rPr>
        <w:t xml:space="preserve">Patrón de Integración (EIP)</w:t>
      </w:r>
      <w:r>
        <w:t xml:space="preserve"> </w:t>
      </w:r>
      <w:r>
        <w:t xml:space="preserve">Pasar de modelo integración EIA (intgración directa ente consumidores y proveedores) a modelo de integración EIP (integración empresarial/bus) sobre Red Hat Integration Platform.</w:t>
      </w:r>
    </w:p>
    <w:p>
      <w:pPr>
        <w:pStyle w:val="BodyText"/>
      </w:pPr>
      <w:r>
        <w:rPr>
          <w:bCs/>
          <w:b/>
        </w:rPr>
        <w:t xml:space="preserve">Tecnologías</w:t>
      </w:r>
    </w:p>
    <w:p>
      <w:pPr>
        <w:numPr>
          <w:ilvl w:val="0"/>
          <w:numId w:val="1019"/>
        </w:numPr>
        <w:pStyle w:val="Compact"/>
      </w:pPr>
      <w:r>
        <w:t xml:space="preserve">Red Hat Integration: suite de runtimes, frameworks, y servicios para aplicaciones nativas de Red Hat OpenShift.</w:t>
      </w:r>
    </w:p>
    <w:p>
      <w:pPr>
        <w:numPr>
          <w:ilvl w:val="0"/>
          <w:numId w:val="1019"/>
        </w:numPr>
        <w:pStyle w:val="Compact"/>
      </w:pPr>
      <w:r>
        <w:t xml:space="preserve">Camel Integration Tool</w:t>
      </w:r>
    </w:p>
    <w:p>
      <w:pPr>
        <w:numPr>
          <w:ilvl w:val="0"/>
          <w:numId w:val="1019"/>
        </w:numPr>
        <w:pStyle w:val="Compact"/>
      </w:pPr>
      <w:r>
        <w:t xml:space="preserve">Quarkus development framework</w:t>
      </w:r>
    </w:p>
    <w:p>
      <w:pPr>
        <w:numPr>
          <w:ilvl w:val="0"/>
          <w:numId w:val="1019"/>
        </w:numPr>
        <w:pStyle w:val="Compact"/>
      </w:pPr>
      <w:r>
        <w:t xml:space="preserve">Java OpenJDK 17</w:t>
      </w:r>
    </w:p>
    <w:p>
      <w:pPr>
        <w:numPr>
          <w:ilvl w:val="0"/>
          <w:numId w:val="1019"/>
        </w:numPr>
        <w:pStyle w:val="Compact"/>
      </w:pPr>
      <w:r>
        <w:t xml:space="preserve">EFK (Elasticsearch, FluentD, Kibana - ELKstack)</w:t>
      </w:r>
    </w:p>
    <w:p>
      <w:pPr>
        <w:pStyle w:val="FirstParagraph"/>
      </w:pPr>
      <w:r>
        <w:rPr>
          <w:bCs/>
          <w:b/>
        </w:rPr>
        <w:t xml:space="preserve">Modelo de Seguridad</w:t>
      </w:r>
      <w:r>
        <w:t xml:space="preserve"> </w:t>
      </w:r>
      <w:r>
        <w:t xml:space="preserve">Autenticación mixta: JWS y tradicional (usuario, contraseña).</w:t>
      </w:r>
    </w:p>
    <w:p>
      <w:pPr>
        <w:pStyle w:val="BodyText"/>
      </w:pPr>
      <w:r>
        <w:rPr>
          <w:bCs/>
          <w:b/>
        </w:rPr>
        <w:t xml:space="preserve">Flujo de datos</w:t>
      </w:r>
      <w:r>
        <w:t xml:space="preserve"> </w:t>
      </w:r>
      <w:r>
        <w:t xml:space="preserve">Esta solución de interoperabilidad usa esquemas de datos predefinidos entre las integraciones.</w:t>
      </w:r>
    </w:p>
    <w:p>
      <w:pPr>
        <w:pStyle w:val="BodyText"/>
      </w:pPr>
      <w:r>
        <w:rPr>
          <w:bCs/>
          <w:b/>
        </w:rPr>
        <w:t xml:space="preserve">Conectividad API</w:t>
      </w:r>
      <w:r>
        <w:t xml:space="preserve"> </w:t>
      </w:r>
      <w:r>
        <w:t xml:space="preserve">Esta solución de interoperabilidad usa conectividad API REST provista por la infraestructura de conectividad de la JEP (Apache Camel).</w:t>
      </w:r>
    </w:p>
    <w:p>
      <w:pPr>
        <w:pStyle w:val="BodyText"/>
      </w:pPr>
      <w:r>
        <w:rPr>
          <w:bCs/>
          <w:b/>
        </w:rPr>
        <w:t xml:space="preserve">Plano de Administración</w:t>
      </w:r>
      <w:r>
        <w:t xml:space="preserve"> </w:t>
      </w:r>
      <w:r>
        <w:t xml:space="preserve">Monitoreo de rendimiento de ssvc de integración.</w:t>
      </w:r>
    </w:p>
    <w:p>
      <w:pPr>
        <w:pStyle w:val="BodyText"/>
      </w:pPr>
      <w:r>
        <w:rPr>
          <w:bCs/>
          <w:b/>
        </w:rPr>
        <w:t xml:space="preserve">04.ING.2n.1b. Modelo producción</w:t>
      </w:r>
      <w:r>
        <w:t xml:space="preserve"> </w:t>
      </w: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End w:id="57"/>
    <w:bookmarkStart w:id="58" w:name="X7135d0e5eaea6d5d9f8a702798dce6546d91cd4"/>
    <w:p>
      <w:pPr>
        <w:pStyle w:val="Heading3"/>
      </w:pPr>
      <w:r>
        <w:t xml:space="preserve">Mapeo del Modelo con Herramienta de Registro del Trabajo (az devops)</w:t>
      </w:r>
    </w:p>
    <w:p>
      <w:pPr>
        <w:numPr>
          <w:ilvl w:val="0"/>
          <w:numId w:val="1020"/>
        </w:numPr>
        <w:pStyle w:val="Compact"/>
      </w:pPr>
      <w:r>
        <w:t xml:space="preserve">Épica = Versión de entrega de la solución como un todo</w:t>
      </w:r>
    </w:p>
    <w:p>
      <w:pPr>
        <w:numPr>
          <w:ilvl w:val="0"/>
          <w:numId w:val="1020"/>
        </w:numPr>
        <w:pStyle w:val="Compact"/>
      </w:pPr>
      <w:r>
        <w:t xml:space="preserve">Característica = Requerimiento de integración, del cual pueden desprenderse varias integraciones puntuales.</w:t>
      </w:r>
    </w:p>
    <w:p>
      <w:pPr>
        <w:numPr>
          <w:ilvl w:val="0"/>
          <w:numId w:val="1020"/>
        </w:numPr>
        <w:pStyle w:val="Compact"/>
      </w:pPr>
      <w:r>
        <w:t xml:space="preserve">HU = Una integración puntual proveniente de un requerimiento, ej.: ingreso Conti, Consulta campos, Radicar ítem, Generación documentos…</w:t>
      </w:r>
    </w:p>
    <w:p>
      <w:pPr>
        <w:numPr>
          <w:ilvl w:val="0"/>
          <w:numId w:val="1020"/>
        </w:numPr>
        <w:pStyle w:val="Compact"/>
      </w:pPr>
      <w:r>
        <w:t xml:space="preserve">UT = Tarea de desarrollo.</w:t>
      </w:r>
    </w:p>
    <w:p>
      <w:pPr>
        <w:pStyle w:val="FirstParagraph"/>
      </w:pPr>
      <w:r>
        <w:rPr>
          <w:bCs/>
          <w:b/>
        </w:rPr>
        <w:t xml:space="preserve">05.REQR.1n. Requerimientos Servicios de Integración</w:t>
      </w:r>
      <w:r>
        <w:t xml:space="preserve"> </w:t>
      </w: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 (pdf).</w:t>
      </w:r>
    </w:p>
    <w:p>
      <w:pPr>
        <w:pStyle w:val="BodyText"/>
      </w:pPr>
      <w:r>
        <w:rPr>
          <w:bCs/>
          <w:b/>
        </w:rPr>
        <w:t xml:space="preserve">Entregables</w:t>
      </w:r>
    </w:p>
    <w:p>
      <w:pPr>
        <w:pStyle w:val="BodyText"/>
      </w:pPr>
      <w:r>
        <w:rPr>
          <w:bCs/>
          <w:b/>
        </w:rPr>
        <w:t xml:space="preserve">ENTG01. Solución de Integración JEP</w:t>
      </w:r>
      <w:r>
        <w:t xml:space="preserve"> </w:t>
      </w:r>
      <w:r>
        <w:t xml:space="preserve">Documentación técnica del diseño de solución de la integración JEP, 2024.</w:t>
      </w:r>
    </w:p>
    <w:p>
      <w:pPr>
        <w:pStyle w:val="BodyText"/>
      </w:pPr>
      <w:r>
        <w:rPr>
          <w:bCs/>
          <w:b/>
        </w:rPr>
        <w:t xml:space="preserve">ENTG02. Servicios de Integración JEP</w:t>
      </w:r>
      <w:r>
        <w:t xml:space="preserve"> </w:t>
      </w:r>
      <w:r>
        <w:t xml:space="preserve">Servicios ejecutables desplegados en los entornos de software JEP.</w:t>
      </w:r>
    </w:p>
    <w:p>
      <w:pPr>
        <w:pStyle w:val="BodyText"/>
      </w:pPr>
      <w:r>
        <w:rPr>
          <w:bCs/>
          <w:b/>
        </w:rPr>
        <w:t xml:space="preserve">ENTG03. CI/CD Integración JEP</w:t>
      </w:r>
      <w:r>
        <w:t xml:space="preserve"> </w:t>
      </w:r>
      <w:r>
        <w:t xml:space="preserve">Cadenas de integración y despliegue continuo de los servicios de integración del proyecto de integración JEP, 2024.</w:t>
      </w:r>
    </w:p>
    <w:p>
      <w:pPr>
        <w:pStyle w:val="BodyText"/>
      </w:pPr>
      <w:r>
        <w:rPr>
          <w:bCs/>
          <w:b/>
        </w:rPr>
        <w:t xml:space="preserve">ENTG04. Nodo Integración JEP</w:t>
      </w:r>
      <w:r>
        <w:t xml:space="preserve"> </w:t>
      </w:r>
      <w:r>
        <w:t xml:space="preserve">Cluster de ejecución de los nodos y procesos de (servicios) de integración del proyecto.</w:t>
      </w:r>
      <w:r>
        <w:t xml:space="preserve"> </w:t>
      </w:r>
      <w:r>
        <w:rPr>
          <w:bCs/>
          <w:b/>
        </w:rPr>
        <w:t xml:space="preserve">ENTG05. Proceso (worker)</w:t>
      </w:r>
      <w:r>
        <w:t xml:space="preserve"> </w:t>
      </w:r>
      <w:r>
        <w:t xml:space="preserve">Configuración de servicios de integración del proyecto dentro de la infraestructura tecnológica JEP.</w:t>
      </w:r>
      <w:r>
        <w:t xml:space="preserve"> </w:t>
      </w:r>
      <w:r>
        <w:rPr>
          <w:bCs/>
          <w:b/>
        </w:rPr>
        <w:t xml:space="preserve">ENTG06. Contenedor</w:t>
      </w:r>
      <w:r>
        <w:t xml:space="preserve"> </w:t>
      </w:r>
      <w:r>
        <w:t xml:space="preserve">Contenedores de los servicios de integración del proyecto desplegados en la infraestructura tecnológica JEP.</w:t>
      </w:r>
    </w:p>
    <w:p>
      <w:pPr>
        <w:pStyle w:val="BodyText"/>
      </w:pPr>
      <w:r>
        <w:rPr>
          <w:bCs/>
          <w:b/>
        </w:rPr>
        <w:t xml:space="preserve">ENTG07 (task)</w:t>
      </w:r>
      <w:r>
        <w:t xml:space="preserve"> </w:t>
      </w:r>
      <w:r>
        <w:t xml:space="preserve">Servicios de integración del proyecto desplegados en la infraestructura tecnológica JEP.</w:t>
      </w:r>
    </w:p>
    <w:p>
      <w:pPr>
        <w:pStyle w:val="BodyText"/>
      </w:pPr>
      <w:r>
        <w:rPr>
          <w:bCs/>
          <w:b/>
        </w:rPr>
        <w:t xml:space="preserve">ENTG04. Nodo Integración JEP</w:t>
      </w:r>
      <w:r>
        <w:t xml:space="preserve"> </w:t>
      </w:r>
      <w:r>
        <w:t xml:space="preserve">Cluster de ejecución de los nodos y procesos de (servicios) de integración del proyecto.</w:t>
      </w:r>
      <w:r>
        <w:t xml:space="preserve"> </w:t>
      </w:r>
      <w:r>
        <w:rPr>
          <w:bCs/>
          <w:b/>
        </w:rPr>
        <w:t xml:space="preserve">ENTG05. Proceso (worker)</w:t>
      </w:r>
      <w:r>
        <w:t xml:space="preserve"> </w:t>
      </w:r>
      <w:r>
        <w:t xml:space="preserve">Configuración de servicios de integración del proyecto dentro de la infraestructura tecnológica JEP.</w:t>
      </w:r>
      <w:r>
        <w:t xml:space="preserve"> </w:t>
      </w:r>
      <w:r>
        <w:rPr>
          <w:bCs/>
          <w:b/>
        </w:rPr>
        <w:t xml:space="preserve">ENTG06. Contenedor</w:t>
      </w:r>
      <w:r>
        <w:t xml:space="preserve"> </w:t>
      </w:r>
      <w:r>
        <w:t xml:space="preserve">Contenedores de los servicios de integración del proyecto desplegados en la infraestructura tecnológica JEP.</w:t>
      </w:r>
    </w:p>
    <w:p>
      <w:pPr>
        <w:pStyle w:val="BodyText"/>
      </w:pPr>
      <w:r>
        <w:rPr>
          <w:bCs/>
          <w:b/>
        </w:rPr>
        <w:t xml:space="preserve">ENTG07 (task)</w:t>
      </w:r>
      <w:r>
        <w:t xml:space="preserve"> </w:t>
      </w:r>
      <w:r>
        <w:t xml:space="preserve">Servicios de integración del proyecto desplegados en la infraestructura tecnológica JEP.</w:t>
      </w:r>
    </w:p>
    <w:bookmarkEnd w:id="58"/>
    <w:bookmarkEnd w:id="59"/>
    <w:bookmarkStart w:id="65"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1" name="Picture"/>
            <a:graphic>
              <a:graphicData uri="http://schemas.openxmlformats.org/drawingml/2006/picture">
                <pic:pic>
                  <pic:nvPicPr>
                    <pic:cNvPr descr="images/04.ING.3n.2.AmbientesyHerramientasJEP.png" id="62" name="Picture"/>
                    <pic:cNvPicPr>
                      <a:picLocks noChangeArrowheads="1" noChangeAspect="1"/>
                    </pic:cNvPicPr>
                  </pic:nvPicPr>
                  <pic:blipFill>
                    <a:blip r:embed="rId60"/>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4" w:name="sec:catálogo-de-elementos-4"/>
    <w:p>
      <w:pPr>
        <w:pStyle w:val="Heading3"/>
      </w:pPr>
      <w:r>
        <w:t xml:space="preserve">Catálogo de Elementos</w:t>
      </w:r>
    </w:p>
    <w:bookmarkStart w:id="63" w:name="X1ad1bf11a9e00efef2c1258c35c5492b5fdb622"/>
    <w:p>
      <w:pPr>
        <w:pStyle w:val="TableCaption"/>
      </w:pPr>
      <w:r>
        <w:rPr>
          <w:iCs/>
          <w:i/>
        </w:rPr>
        <w:t xml:space="preserve">Tabla 2</w:t>
      </w:r>
      <w:r>
        <w:t xml:space="preserve">: Elementos de la vista.</w:t>
      </w:r>
    </w:p>
    <w:tbl>
      <w:tblPr>
        <w:tblStyle w:val="Table"/>
        <w:tblW w:type="pct" w:w="5000"/>
        <w:tblLook w:firstRow="1" w:lastRow="0" w:firstColumn="0" w:lastColumn="0" w:noHBand="0" w:noVBand="0" w:val="0020"/>
        <w:jc w:val="start"/>
        <w:tblLayout w:type="fixed"/>
        <w:tblCaption w:val="Tabla 2: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bl>
    <w:bookmarkEnd w:id="63"/>
    <w:p>
      <w:pPr>
        <w:pStyle w:val="BodyText"/>
      </w:pPr>
    </w:p>
    <w:bookmarkEnd w:id="64"/>
    <w:bookmarkEnd w:id="65"/>
    <w:bookmarkStart w:id="71"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7" name="Picture"/>
            <a:graphic>
              <a:graphicData uri="http://schemas.openxmlformats.org/drawingml/2006/picture">
                <pic:pic>
                  <pic:nvPicPr>
                    <pic:cNvPr descr="images/04.ING.3n.3.SistemadeMensajeríaIntegraciónJEP.png" id="68" name="Picture"/>
                    <pic:cNvPicPr>
                      <a:picLocks noChangeArrowheads="1" noChangeAspect="1"/>
                    </pic:cNvPicPr>
                  </pic:nvPicPr>
                  <pic:blipFill>
                    <a:blip r:embed="rId66"/>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70" w:name="sec:catálogo-de-elementos-5"/>
    <w:p>
      <w:pPr>
        <w:pStyle w:val="Heading3"/>
      </w:pPr>
      <w:r>
        <w:t xml:space="preserve">Catálogo de Elementos</w:t>
      </w:r>
    </w:p>
    <w:bookmarkStart w:id="69" w:name="X0aa8ee665e4d2e3b8b9e1822dfa64724ee779a8"/>
    <w:p>
      <w:pPr>
        <w:pStyle w:val="TableCaption"/>
      </w:pPr>
      <w:r>
        <w:rPr>
          <w:iCs/>
          <w:i/>
        </w:rPr>
        <w:t xml:space="preserve">Tabla 3</w:t>
      </w:r>
      <w:r>
        <w:t xml:space="preserve">: Elementos de la vista.</w:t>
      </w:r>
    </w:p>
    <w:tbl>
      <w:tblPr>
        <w:tblStyle w:val="Table"/>
        <w:tblW w:type="pct" w:w="5000"/>
        <w:tblLook w:firstRow="1" w:lastRow="0" w:firstColumn="0" w:lastColumn="0" w:noHBand="0" w:noVBand="0" w:val="0020"/>
        <w:jc w:val="start"/>
        <w:tblLayout w:type="fixed"/>
        <w:tblCaption w:val="Tabla 3: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jc w:val="left"/>
            </w:pPr>
            <w:r>
              <w:t xml:space="preserve">VM Node</w:t>
            </w:r>
          </w:p>
        </w:tc>
        <w:tc>
          <w:tcPr/>
          <w:p>
            <w:pPr>
              <w:pStyle w:val="Compact"/>
              <w:jc w:val="left"/>
            </w:pPr>
            <w:r>
              <w:t xml:space="preserve">Node</w:t>
            </w:r>
          </w:p>
        </w:tc>
        <w:tc>
          <w:tcPr/>
          <w:p>
            <w:pPr>
              <w:pStyle w:val="Compact"/>
              <w:jc w:val="left"/>
            </w:pPr>
            <w:r>
              <w:t xml:space="preserve">Nodo físico donde corren los procesos del sistema operativo.</w:t>
            </w: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jc w:val="left"/>
            </w:pPr>
            <w:r>
              <w:t xml:space="preserve">Proveedor</w:t>
            </w:r>
          </w:p>
        </w:tc>
        <w:tc>
          <w:tcPr/>
          <w:p>
            <w:pPr>
              <w:pStyle w:val="Compact"/>
              <w:jc w:val="left"/>
            </w:pPr>
            <w:r>
              <w:t xml:space="preserve">Application Component</w:t>
            </w:r>
          </w:p>
        </w:tc>
        <w:tc>
          <w:tcPr/>
          <w:p>
            <w:pPr>
              <w:pStyle w:val="Compact"/>
              <w:jc w:val="left"/>
            </w:pPr>
            <w:r>
              <w:t xml:space="preserve">Aplicación o servicio proveedor. Emite mensajes de respuesta al consumidor de datos o comandos.</w:t>
            </w:r>
          </w:p>
        </w:tc>
      </w:tr>
    </w:tbl>
    <w:bookmarkEnd w:id="69"/>
    <w:p>
      <w:pPr>
        <w:pStyle w:val="BodyText"/>
      </w:pPr>
    </w:p>
    <w:bookmarkEnd w:id="70"/>
    <w:bookmarkEnd w:id="71"/>
    <w:bookmarkEnd w:id="72"/>
    <w:bookmarkStart w:id="101" w:name="X9eaf8f9e5aaaec9efd1b932dd65c6a451e58315"/>
    <w:p>
      <w:pPr>
        <w:pStyle w:val="Heading1"/>
      </w:pPr>
      <w:r>
        <w:t xml:space="preserve">Modelo de Requerimientos de Interoperabilidad Proyecto JEP</w:t>
      </w:r>
    </w:p>
    <w:bookmarkStart w:id="88"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21"/>
        </w:numPr>
        <w:pStyle w:val="Compact"/>
      </w:pPr>
      <w:r>
        <w:t xml:space="preserve">Implementación de 20 o más servicios de integración al 31 de diciembre del 2024.</w:t>
      </w:r>
    </w:p>
    <w:p>
      <w:pPr>
        <w:numPr>
          <w:ilvl w:val="0"/>
          <w:numId w:val="1021"/>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22"/>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22"/>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22"/>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Fuente: Repositorio arquitectura Integración JEP (2024)" title="" id="74" name="Picture"/>
            <a:graphic>
              <a:graphicData uri="http://schemas.openxmlformats.org/drawingml/2006/picture">
                <pic:pic>
                  <pic:nvPicPr>
                    <pic:cNvPr descr="images/05.REQR.1n.1a.Requerimiento.png" id="75" name="Picture"/>
                    <pic:cNvPicPr>
                      <a:picLocks noChangeArrowheads="1" noChangeAspect="1"/>
                    </pic:cNvPicPr>
                  </pic:nvPicPr>
                  <pic:blipFill>
                    <a:blip r:embed="rId73"/>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7: 05.REQR.1n.1a. Requerimiento.</w:t>
      </w:r>
      <w:r>
        <w:t xml:space="preserve"> </w:t>
      </w:r>
      <w:r>
        <w:rPr>
          <w:iCs/>
          <w:i/>
        </w:rPr>
        <w:t xml:space="preserve">Fuente: Repositorio arquitectura Integración JEP (2024)</w:t>
      </w:r>
    </w:p>
    <w:bookmarkStart w:id="76" w:name="sec:problema-1"/>
    <w:p>
      <w:pPr>
        <w:pStyle w:val="Heading3"/>
      </w:pPr>
      <w:r>
        <w:t xml:space="preserve">Problema 1</w:t>
      </w:r>
    </w:p>
    <w:bookmarkEnd w:id="76"/>
    <w:bookmarkStart w:id="77" w:name="sec:objetivo-contractual"/>
    <w:p>
      <w:pPr>
        <w:pStyle w:val="Heading3"/>
      </w:pPr>
      <w:r>
        <w:t xml:space="preserve">Objetivo: Contractual</w:t>
      </w:r>
    </w:p>
    <w:p>
      <w:pPr>
        <w:pStyle w:val="FirstParagraph"/>
      </w:pPr>
      <w:r>
        <w:t xml:space="preserve">El requerimiento tiene carácter contractual.</w:t>
      </w:r>
    </w:p>
    <w:bookmarkEnd w:id="77"/>
    <w:bookmarkStart w:id="78"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78"/>
    <w:bookmarkStart w:id="79"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79"/>
    <w:bookmarkStart w:id="81"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80" w:name="X8ae3bc333c0d418fc477fe355d0aabfb3b51768"/>
    <w:p>
      <w:pPr>
        <w:pStyle w:val="Heading4"/>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p>
    <w:p>
      <w:pPr>
        <w:numPr>
          <w:ilvl w:val="0"/>
          <w:numId w:val="1023"/>
        </w:numPr>
        <w:pStyle w:val="Compact"/>
      </w:pPr>
      <w:r>
        <w:t xml:space="preserve">Integración. Generación de documentos</w:t>
      </w:r>
    </w:p>
    <w:bookmarkEnd w:id="80"/>
    <w:bookmarkEnd w:id="81"/>
    <w:bookmarkStart w:id="82" w:name="sec:solución-1"/>
    <w:p>
      <w:pPr>
        <w:pStyle w:val="Heading3"/>
      </w:pPr>
      <w:r>
        <w:t xml:space="preserve">Solución 1</w:t>
      </w:r>
    </w:p>
    <w:bookmarkEnd w:id="82"/>
    <w:bookmarkStart w:id="83" w:name="sec:sint1.-integración.-ingreso-a-conti"/>
    <w:p>
      <w:pPr>
        <w:pStyle w:val="Heading3"/>
      </w:pPr>
      <w:r>
        <w:t xml:space="preserve">SINT1. Integración. Ingreso a Conti</w:t>
      </w:r>
    </w:p>
    <w:p>
      <w:pPr>
        <w:pStyle w:val="FirstParagraph"/>
      </w:pPr>
      <w:r>
        <w:t xml:space="preserve">Tareas de desarrollo</w:t>
      </w:r>
    </w:p>
    <w:p>
      <w:pPr>
        <w:numPr>
          <w:ilvl w:val="0"/>
          <w:numId w:val="1024"/>
        </w:numPr>
        <w:pStyle w:val="Compact"/>
      </w:pPr>
      <w:r>
        <w:t xml:space="preserve">Interoperabilidad IOP1. Transporte / Entrega Consulta Negocio</w:t>
      </w:r>
    </w:p>
    <w:p>
      <w:pPr>
        <w:numPr>
          <w:ilvl w:val="0"/>
          <w:numId w:val="1024"/>
        </w:numPr>
        <w:pStyle w:val="Compact"/>
      </w:pPr>
      <w:r>
        <w:t xml:space="preserve">Modelo de datos (XML, RBDMS, …)</w:t>
      </w:r>
    </w:p>
    <w:p>
      <w:pPr>
        <w:numPr>
          <w:ilvl w:val="0"/>
          <w:numId w:val="1024"/>
        </w:numPr>
        <w:pStyle w:val="Compact"/>
      </w:pPr>
      <w:r>
        <w:t xml:space="preserve">Esquema de datos (XSD, DTD, JSON-E…)</w:t>
      </w:r>
    </w:p>
    <w:p>
      <w:pPr>
        <w:numPr>
          <w:ilvl w:val="0"/>
          <w:numId w:val="1024"/>
        </w:numPr>
        <w:pStyle w:val="Compact"/>
      </w:pPr>
      <w:r>
        <w:t xml:space="preserve">Contratos de interoperabilidad (WSDL, API…)</w:t>
      </w:r>
    </w:p>
    <w:p>
      <w:pPr>
        <w:numPr>
          <w:ilvl w:val="0"/>
          <w:numId w:val="1024"/>
        </w:numPr>
        <w:pStyle w:val="Compact"/>
      </w:pPr>
      <w:r>
        <w:t xml:space="preserve">Mensajes petición IN (API, XML…)</w:t>
      </w:r>
    </w:p>
    <w:p>
      <w:pPr>
        <w:numPr>
          <w:ilvl w:val="0"/>
          <w:numId w:val="1024"/>
        </w:numPr>
        <w:pStyle w:val="Compact"/>
      </w:pPr>
      <w:r>
        <w:t xml:space="preserve">Mensajes respuesta OUT (API, XML…)</w:t>
      </w:r>
    </w:p>
    <w:p>
      <w:pPr>
        <w:numPr>
          <w:ilvl w:val="0"/>
          <w:numId w:val="1024"/>
        </w:numPr>
        <w:pStyle w:val="Compact"/>
      </w:pPr>
      <w:r>
        <w:t xml:space="preserve">Mensajes excepción (API, XML…)</w:t>
      </w:r>
    </w:p>
    <w:p>
      <w:pPr>
        <w:numPr>
          <w:ilvl w:val="0"/>
          <w:numId w:val="1024"/>
        </w:numPr>
        <w:pStyle w:val="Compact"/>
      </w:pPr>
      <w:r>
        <w:t xml:space="preserve">Transporte (REST, SOAP)</w:t>
      </w:r>
    </w:p>
    <w:p>
      <w:pPr>
        <w:numPr>
          <w:ilvl w:val="0"/>
          <w:numId w:val="1024"/>
        </w:numPr>
        <w:pStyle w:val="Compact"/>
      </w:pPr>
      <w:r>
        <w:t xml:space="preserve">Función lógica (JEE, …)</w:t>
      </w:r>
    </w:p>
    <w:p>
      <w:pPr>
        <w:numPr>
          <w:ilvl w:val="0"/>
          <w:numId w:val="1024"/>
        </w:numPr>
        <w:pStyle w:val="Compact"/>
      </w:pPr>
      <w:r>
        <w:t xml:space="preserve">Registro y envío de actividad</w:t>
      </w:r>
    </w:p>
    <w:bookmarkEnd w:id="83"/>
    <w:bookmarkStart w:id="84"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25"/>
        </w:numPr>
        <w:pStyle w:val="Compact"/>
      </w:pPr>
      <w:r>
        <w:t xml:space="preserve">Interoperabilidad IOP1. Transporte / Entrega Consulta Negocio</w:t>
      </w:r>
    </w:p>
    <w:p>
      <w:pPr>
        <w:numPr>
          <w:ilvl w:val="0"/>
          <w:numId w:val="1025"/>
        </w:numPr>
        <w:pStyle w:val="Compact"/>
      </w:pPr>
      <w:r>
        <w:t xml:space="preserve">Modelo de datos (XML, RBDMS, …)</w:t>
      </w:r>
    </w:p>
    <w:p>
      <w:pPr>
        <w:numPr>
          <w:ilvl w:val="0"/>
          <w:numId w:val="1025"/>
        </w:numPr>
        <w:pStyle w:val="Compact"/>
      </w:pPr>
      <w:r>
        <w:t xml:space="preserve">Esquema de datos (XSD, DTD, JSON-E…)</w:t>
      </w:r>
    </w:p>
    <w:p>
      <w:pPr>
        <w:numPr>
          <w:ilvl w:val="0"/>
          <w:numId w:val="1025"/>
        </w:numPr>
        <w:pStyle w:val="Compact"/>
      </w:pPr>
      <w:r>
        <w:t xml:space="preserve">Contratos de interoperabilidad (WSDL, API…)</w:t>
      </w:r>
    </w:p>
    <w:p>
      <w:pPr>
        <w:numPr>
          <w:ilvl w:val="0"/>
          <w:numId w:val="1025"/>
        </w:numPr>
        <w:pStyle w:val="Compact"/>
      </w:pPr>
      <w:r>
        <w:t xml:space="preserve">Mensajes petición IN (API, XML…)</w:t>
      </w:r>
    </w:p>
    <w:p>
      <w:pPr>
        <w:numPr>
          <w:ilvl w:val="0"/>
          <w:numId w:val="1025"/>
        </w:numPr>
        <w:pStyle w:val="Compact"/>
      </w:pPr>
      <w:r>
        <w:t xml:space="preserve">Mensajes respuesta OUT (API, XML…)</w:t>
      </w:r>
    </w:p>
    <w:p>
      <w:pPr>
        <w:numPr>
          <w:ilvl w:val="0"/>
          <w:numId w:val="1025"/>
        </w:numPr>
        <w:pStyle w:val="Compact"/>
      </w:pPr>
      <w:r>
        <w:t xml:space="preserve">Mensajes excepción (API, XML…)</w:t>
      </w:r>
    </w:p>
    <w:p>
      <w:pPr>
        <w:numPr>
          <w:ilvl w:val="0"/>
          <w:numId w:val="1025"/>
        </w:numPr>
        <w:pStyle w:val="Compact"/>
      </w:pPr>
      <w:r>
        <w:t xml:space="preserve">Transporte (REST, SOAP)</w:t>
      </w:r>
    </w:p>
    <w:p>
      <w:pPr>
        <w:numPr>
          <w:ilvl w:val="0"/>
          <w:numId w:val="1025"/>
        </w:numPr>
        <w:pStyle w:val="Compact"/>
      </w:pPr>
      <w:r>
        <w:t xml:space="preserve">Función lógica (JEE, …)</w:t>
      </w:r>
    </w:p>
    <w:p>
      <w:pPr>
        <w:numPr>
          <w:ilvl w:val="0"/>
          <w:numId w:val="1025"/>
        </w:numPr>
        <w:pStyle w:val="Compact"/>
      </w:pPr>
      <w:r>
        <w:t xml:space="preserve">Registro y envío de actividad</w:t>
      </w:r>
    </w:p>
    <w:bookmarkEnd w:id="84"/>
    <w:bookmarkStart w:id="85" w:name="sec:sint3.-integración.-radicar-ítem"/>
    <w:p>
      <w:pPr>
        <w:pStyle w:val="Heading3"/>
      </w:pPr>
      <w:r>
        <w:t xml:space="preserve">SINT3. Integración. Radicar ítem</w:t>
      </w:r>
    </w:p>
    <w:p>
      <w:pPr>
        <w:pStyle w:val="FirstParagraph"/>
      </w:pPr>
      <w:r>
        <w:t xml:space="preserve">Tareas de desarrollo</w:t>
      </w:r>
    </w:p>
    <w:p>
      <w:pPr>
        <w:numPr>
          <w:ilvl w:val="0"/>
          <w:numId w:val="1026"/>
        </w:numPr>
        <w:pStyle w:val="Compact"/>
      </w:pPr>
      <w:r>
        <w:t xml:space="preserve">Interoperabilidad IOP1. Transporte / Entrega Consulta Negocio</w:t>
      </w:r>
    </w:p>
    <w:p>
      <w:pPr>
        <w:numPr>
          <w:ilvl w:val="0"/>
          <w:numId w:val="1026"/>
        </w:numPr>
        <w:pStyle w:val="Compact"/>
      </w:pPr>
      <w:r>
        <w:t xml:space="preserve">Modelo de datos (XML, RBDMS, …)</w:t>
      </w:r>
    </w:p>
    <w:p>
      <w:pPr>
        <w:numPr>
          <w:ilvl w:val="0"/>
          <w:numId w:val="1026"/>
        </w:numPr>
        <w:pStyle w:val="Compact"/>
      </w:pPr>
      <w:r>
        <w:t xml:space="preserve">Esquema de datos (XSD, DTD, JSON-E…)</w:t>
      </w:r>
    </w:p>
    <w:p>
      <w:pPr>
        <w:numPr>
          <w:ilvl w:val="0"/>
          <w:numId w:val="1026"/>
        </w:numPr>
        <w:pStyle w:val="Compact"/>
      </w:pPr>
      <w:r>
        <w:t xml:space="preserve">Contratos de interoperabilidad (WSDL, API…)</w:t>
      </w:r>
    </w:p>
    <w:p>
      <w:pPr>
        <w:numPr>
          <w:ilvl w:val="0"/>
          <w:numId w:val="1026"/>
        </w:numPr>
        <w:pStyle w:val="Compact"/>
      </w:pPr>
      <w:r>
        <w:t xml:space="preserve">Mensajes petición IN (API, XML…)</w:t>
      </w:r>
    </w:p>
    <w:p>
      <w:pPr>
        <w:numPr>
          <w:ilvl w:val="0"/>
          <w:numId w:val="1026"/>
        </w:numPr>
        <w:pStyle w:val="Compact"/>
      </w:pPr>
      <w:r>
        <w:t xml:space="preserve">Mensajes respuesta OUT (API, XML…)</w:t>
      </w:r>
    </w:p>
    <w:p>
      <w:pPr>
        <w:numPr>
          <w:ilvl w:val="0"/>
          <w:numId w:val="1026"/>
        </w:numPr>
        <w:pStyle w:val="Compact"/>
      </w:pPr>
      <w:r>
        <w:t xml:space="preserve">Mensajes excepción (API, XML…)</w:t>
      </w:r>
    </w:p>
    <w:p>
      <w:pPr>
        <w:numPr>
          <w:ilvl w:val="0"/>
          <w:numId w:val="1026"/>
        </w:numPr>
        <w:pStyle w:val="Compact"/>
      </w:pPr>
      <w:r>
        <w:t xml:space="preserve">Transporte (REST, SOAP)</w:t>
      </w:r>
    </w:p>
    <w:p>
      <w:pPr>
        <w:numPr>
          <w:ilvl w:val="0"/>
          <w:numId w:val="1026"/>
        </w:numPr>
        <w:pStyle w:val="Compact"/>
      </w:pPr>
      <w:r>
        <w:t xml:space="preserve">Función lógica (JEE, …)</w:t>
      </w:r>
    </w:p>
    <w:p>
      <w:pPr>
        <w:numPr>
          <w:ilvl w:val="0"/>
          <w:numId w:val="1026"/>
        </w:numPr>
        <w:pStyle w:val="Compact"/>
      </w:pPr>
      <w:r>
        <w:t xml:space="preserve">Registro y envío de actividad</w:t>
      </w:r>
    </w:p>
    <w:bookmarkEnd w:id="85"/>
    <w:bookmarkStart w:id="86"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27"/>
        </w:numPr>
        <w:pStyle w:val="Compact"/>
      </w:pPr>
      <w:r>
        <w:t xml:space="preserve">Interoperabilidad IOP1. Transporte / Entrega Consulta Negocio</w:t>
      </w:r>
    </w:p>
    <w:p>
      <w:pPr>
        <w:numPr>
          <w:ilvl w:val="0"/>
          <w:numId w:val="1027"/>
        </w:numPr>
        <w:pStyle w:val="Compact"/>
      </w:pPr>
      <w:r>
        <w:t xml:space="preserve">Modelo de datos (XML, RBDMS, …)</w:t>
      </w:r>
    </w:p>
    <w:p>
      <w:pPr>
        <w:numPr>
          <w:ilvl w:val="0"/>
          <w:numId w:val="1027"/>
        </w:numPr>
        <w:pStyle w:val="Compact"/>
      </w:pPr>
      <w:r>
        <w:t xml:space="preserve">Esquema de datos (XSD, DTD, JSON-E…)</w:t>
      </w:r>
    </w:p>
    <w:p>
      <w:pPr>
        <w:numPr>
          <w:ilvl w:val="0"/>
          <w:numId w:val="1027"/>
        </w:numPr>
        <w:pStyle w:val="Compact"/>
      </w:pPr>
      <w:r>
        <w:t xml:space="preserve">Contratos de interoperabilidad (WSDL, API…)</w:t>
      </w:r>
    </w:p>
    <w:p>
      <w:pPr>
        <w:numPr>
          <w:ilvl w:val="0"/>
          <w:numId w:val="1027"/>
        </w:numPr>
        <w:pStyle w:val="Compact"/>
      </w:pPr>
      <w:r>
        <w:t xml:space="preserve">Mensajes petición IN (API, XML…)</w:t>
      </w:r>
    </w:p>
    <w:p>
      <w:pPr>
        <w:numPr>
          <w:ilvl w:val="0"/>
          <w:numId w:val="1027"/>
        </w:numPr>
        <w:pStyle w:val="Compact"/>
      </w:pPr>
      <w:r>
        <w:t xml:space="preserve">Mensajes respuesta OUT (API, XML…)</w:t>
      </w:r>
    </w:p>
    <w:p>
      <w:pPr>
        <w:numPr>
          <w:ilvl w:val="0"/>
          <w:numId w:val="1027"/>
        </w:numPr>
        <w:pStyle w:val="Compact"/>
      </w:pPr>
      <w:r>
        <w:t xml:space="preserve">Mensajes excepción (API, XML…)</w:t>
      </w:r>
    </w:p>
    <w:p>
      <w:pPr>
        <w:numPr>
          <w:ilvl w:val="0"/>
          <w:numId w:val="1027"/>
        </w:numPr>
        <w:pStyle w:val="Compact"/>
      </w:pPr>
      <w:r>
        <w:t xml:space="preserve">Transporte (REST, SOAP)</w:t>
      </w:r>
    </w:p>
    <w:p>
      <w:pPr>
        <w:numPr>
          <w:ilvl w:val="0"/>
          <w:numId w:val="1027"/>
        </w:numPr>
        <w:pStyle w:val="Compact"/>
      </w:pPr>
      <w:r>
        <w:t xml:space="preserve">Función lógica (JEE, …)</w:t>
      </w:r>
    </w:p>
    <w:p>
      <w:pPr>
        <w:numPr>
          <w:ilvl w:val="0"/>
          <w:numId w:val="1027"/>
        </w:numPr>
        <w:pStyle w:val="Compact"/>
      </w:pPr>
      <w:r>
        <w:t xml:space="preserve">Registro y envío de actividad</w:t>
      </w:r>
    </w:p>
    <w:bookmarkEnd w:id="86"/>
    <w:bookmarkStart w:id="87" w:name="sec:plan-producción-scrum-y-gerencia"/>
    <w:p>
      <w:pPr>
        <w:pStyle w:val="Heading3"/>
      </w:pPr>
      <w:r>
        <w:t xml:space="preserve">Plan Producción: Scrum y Gerencia</w:t>
      </w:r>
    </w:p>
    <w:bookmarkEnd w:id="87"/>
    <w:bookmarkEnd w:id="88"/>
    <w:bookmarkStart w:id="94" w:name="sec:requerimientos-de-integración-jep-1"/>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28"/>
        </w:numPr>
        <w:pStyle w:val="Compact"/>
      </w:pPr>
      <w:r>
        <w:t xml:space="preserve">Implementación de 20 o más servicios de integración al 31 de diciembre del 2024.</w:t>
      </w:r>
    </w:p>
    <w:p>
      <w:pPr>
        <w:numPr>
          <w:ilvl w:val="0"/>
          <w:numId w:val="1028"/>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29"/>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29"/>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29"/>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614693"/>
            <wp:effectExtent b="0" l="0" r="0" t="0"/>
            <wp:docPr descr="05.REQR.1n.1b. Requerimiento. Fuente: Repositorio arquitectura Integración JEP (2024)" title="" id="90" name="Picture"/>
            <a:graphic>
              <a:graphicData uri="http://schemas.openxmlformats.org/drawingml/2006/picture">
                <pic:pic>
                  <pic:nvPicPr>
                    <pic:cNvPr descr="images/05.REQR.1n.1b.Requerimiento.png" id="91" name="Picture"/>
                    <pic:cNvPicPr>
                      <a:picLocks noChangeArrowheads="1" noChangeAspect="1"/>
                    </pic:cNvPicPr>
                  </pic:nvPicPr>
                  <pic:blipFill>
                    <a:blip r:embed="rId89"/>
                    <a:stretch>
                      <a:fillRect/>
                    </a:stretch>
                  </pic:blipFill>
                  <pic:spPr bwMode="auto">
                    <a:xfrm>
                      <a:off x="0" y="0"/>
                      <a:ext cx="5207000" cy="2614693"/>
                    </a:xfrm>
                    <a:prstGeom prst="rect">
                      <a:avLst/>
                    </a:prstGeom>
                    <a:noFill/>
                    <a:ln w="9525">
                      <a:noFill/>
                      <a:headEnd/>
                      <a:tailEnd/>
                    </a:ln>
                  </pic:spPr>
                </pic:pic>
              </a:graphicData>
            </a:graphic>
          </wp:inline>
        </w:drawing>
      </w:r>
    </w:p>
    <w:p>
      <w:pPr>
        <w:pStyle w:val="ImageCaption"/>
      </w:pPr>
      <w:r>
        <w:t xml:space="preserve">Figura 8: 05.REQR.1n.1b. Requerimiento.</w:t>
      </w:r>
      <w:r>
        <w:t xml:space="preserve"> </w:t>
      </w:r>
      <w:r>
        <w:rPr>
          <w:iCs/>
          <w:i/>
        </w:rPr>
        <w:t xml:space="preserve">Fuente: Repositorio arquitectura Integración JEP (2024)</w:t>
      </w:r>
    </w:p>
    <w:bookmarkStart w:id="92" w:name="sec:catálogo-de-elementos-6"/>
    <w:p>
      <w:pPr>
        <w:pStyle w:val="Heading3"/>
      </w:pPr>
      <w:r>
        <w:t xml:space="preserve">Catálogo de Elementos</w:t>
      </w:r>
    </w:p>
    <w:p>
      <w:pPr>
        <w:pStyle w:val="FirstParagraph"/>
      </w:pPr>
      <w:r>
        <w:rPr>
          <w:bCs/>
          <w:b/>
        </w:rPr>
        <w:t xml:space="preserve">Plan Producción: Scrum y Gerencia</w:t>
      </w:r>
    </w:p>
    <w:p>
      <w:pPr>
        <w:pStyle w:val="BodyText"/>
      </w:pPr>
      <w:r>
        <w:rPr>
          <w:bCs/>
          <w:b/>
        </w:rPr>
        <w:t xml:space="preserve">Problema 3</w:t>
      </w:r>
    </w:p>
    <w:p>
      <w:pPr>
        <w:pStyle w:val="BodyText"/>
      </w:pPr>
      <w:r>
        <w:rPr>
          <w:bCs/>
          <w:b/>
        </w:rPr>
        <w:t xml:space="preserve">Objetivo: Contractual</w:t>
      </w:r>
      <w:r>
        <w:t xml:space="preserve"> </w:t>
      </w:r>
      <w:r>
        <w:t xml:space="preserve">El requerimiento tiene carácter contractual.</w:t>
      </w:r>
    </w:p>
    <w:p>
      <w:pPr>
        <w:pStyle w:val="BodyText"/>
      </w:pPr>
      <w:r>
        <w:rPr>
          <w:bCs/>
          <w:b/>
        </w:rPr>
        <w:t xml:space="preserve">Solución 3</w:t>
      </w:r>
    </w:p>
    <w:p>
      <w:pPr>
        <w:pStyle w:val="BodyText"/>
      </w:pPr>
      <w:r>
        <w:rPr>
          <w:bCs/>
          <w:b/>
        </w:rPr>
        <w:t xml:space="preserve">SINT10. Integrar Radicar MP</w:t>
      </w:r>
      <w:r>
        <w:t xml:space="preserve"> </w:t>
      </w:r>
      <w:r>
        <w:t xml:space="preserve">Tareas de desarrollo</w:t>
      </w:r>
    </w:p>
    <w:p>
      <w:pPr>
        <w:numPr>
          <w:ilvl w:val="0"/>
          <w:numId w:val="1030"/>
        </w:numPr>
        <w:pStyle w:val="Compact"/>
      </w:pPr>
      <w:r>
        <w:t xml:space="preserve">Interoperabilidad IOP1. Transporte / Entrega Consulta Negocio</w:t>
      </w:r>
    </w:p>
    <w:p>
      <w:pPr>
        <w:numPr>
          <w:ilvl w:val="0"/>
          <w:numId w:val="1030"/>
        </w:numPr>
        <w:pStyle w:val="Compact"/>
      </w:pPr>
      <w:r>
        <w:t xml:space="preserve">Modelo de datos (XML, RBDMS, …)</w:t>
      </w:r>
    </w:p>
    <w:p>
      <w:pPr>
        <w:numPr>
          <w:ilvl w:val="0"/>
          <w:numId w:val="1030"/>
        </w:numPr>
        <w:pStyle w:val="Compact"/>
      </w:pPr>
      <w:r>
        <w:t xml:space="preserve">Esquema de datos (XSD, DTD, JSON-E…)</w:t>
      </w:r>
    </w:p>
    <w:p>
      <w:pPr>
        <w:numPr>
          <w:ilvl w:val="0"/>
          <w:numId w:val="1030"/>
        </w:numPr>
        <w:pStyle w:val="Compact"/>
      </w:pPr>
      <w:r>
        <w:t xml:space="preserve">Contratos de interoperabilidad (WSDL, API…)</w:t>
      </w:r>
    </w:p>
    <w:p>
      <w:pPr>
        <w:numPr>
          <w:ilvl w:val="0"/>
          <w:numId w:val="1030"/>
        </w:numPr>
        <w:pStyle w:val="Compact"/>
      </w:pPr>
      <w:r>
        <w:t xml:space="preserve">Mensajes petición IN (API, XML…)</w:t>
      </w:r>
    </w:p>
    <w:p>
      <w:pPr>
        <w:numPr>
          <w:ilvl w:val="0"/>
          <w:numId w:val="1030"/>
        </w:numPr>
        <w:pStyle w:val="Compact"/>
      </w:pPr>
      <w:r>
        <w:t xml:space="preserve">Mensajes respuesta OUT (API, XML…)</w:t>
      </w:r>
    </w:p>
    <w:p>
      <w:pPr>
        <w:numPr>
          <w:ilvl w:val="0"/>
          <w:numId w:val="1030"/>
        </w:numPr>
        <w:pStyle w:val="Compact"/>
      </w:pPr>
      <w:r>
        <w:t xml:space="preserve">Mensajes excepción (API, XML…)</w:t>
      </w:r>
    </w:p>
    <w:p>
      <w:pPr>
        <w:numPr>
          <w:ilvl w:val="0"/>
          <w:numId w:val="1030"/>
        </w:numPr>
        <w:pStyle w:val="Compact"/>
      </w:pPr>
      <w:r>
        <w:t xml:space="preserve">Transporte (REST, SOAP)</w:t>
      </w:r>
    </w:p>
    <w:p>
      <w:pPr>
        <w:numPr>
          <w:ilvl w:val="0"/>
          <w:numId w:val="1030"/>
        </w:numPr>
        <w:pStyle w:val="Compact"/>
      </w:pPr>
      <w:r>
        <w:t xml:space="preserve">Función lógica (JEE, …)</w:t>
      </w:r>
    </w:p>
    <w:p>
      <w:pPr>
        <w:numPr>
          <w:ilvl w:val="0"/>
          <w:numId w:val="1030"/>
        </w:numPr>
        <w:pStyle w:val="Compact"/>
      </w:pPr>
      <w:r>
        <w:t xml:space="preserve">Registro y envío de actividad</w:t>
      </w:r>
    </w:p>
    <w:p>
      <w:pPr>
        <w:pStyle w:val="FirstParagraph"/>
      </w:pPr>
      <w:r>
        <w:rPr>
          <w:bCs/>
          <w:b/>
        </w:rPr>
        <w:t xml:space="preserve">SINT11. Integrar Indexar Imagen</w:t>
      </w:r>
      <w:r>
        <w:t xml:space="preserve"> </w:t>
      </w:r>
      <w:r>
        <w:t xml:space="preserve">Tareas de desarrollo</w:t>
      </w:r>
    </w:p>
    <w:p>
      <w:pPr>
        <w:numPr>
          <w:ilvl w:val="0"/>
          <w:numId w:val="1031"/>
        </w:numPr>
        <w:pStyle w:val="Compact"/>
      </w:pPr>
      <w:r>
        <w:t xml:space="preserve">Interoperabilidad IOP1. Transporte / Entrega Consulta Negocio</w:t>
      </w:r>
    </w:p>
    <w:p>
      <w:pPr>
        <w:numPr>
          <w:ilvl w:val="0"/>
          <w:numId w:val="1031"/>
        </w:numPr>
        <w:pStyle w:val="Compact"/>
      </w:pPr>
      <w:r>
        <w:t xml:space="preserve">Modelo de datos (XML, RBDMS, …)</w:t>
      </w:r>
    </w:p>
    <w:p>
      <w:pPr>
        <w:numPr>
          <w:ilvl w:val="0"/>
          <w:numId w:val="1031"/>
        </w:numPr>
        <w:pStyle w:val="Compact"/>
      </w:pPr>
      <w:r>
        <w:t xml:space="preserve">Esquema de datos (XSD, DTD, JSON-E…)</w:t>
      </w:r>
    </w:p>
    <w:p>
      <w:pPr>
        <w:numPr>
          <w:ilvl w:val="0"/>
          <w:numId w:val="1031"/>
        </w:numPr>
        <w:pStyle w:val="Compact"/>
      </w:pPr>
      <w:r>
        <w:t xml:space="preserve">Contratos de interoperabilidad (WSDL, API…)</w:t>
      </w:r>
    </w:p>
    <w:p>
      <w:pPr>
        <w:numPr>
          <w:ilvl w:val="0"/>
          <w:numId w:val="1031"/>
        </w:numPr>
        <w:pStyle w:val="Compact"/>
      </w:pPr>
      <w:r>
        <w:t xml:space="preserve">Mensajes petición IN (API, XML…)</w:t>
      </w:r>
    </w:p>
    <w:p>
      <w:pPr>
        <w:numPr>
          <w:ilvl w:val="0"/>
          <w:numId w:val="1031"/>
        </w:numPr>
        <w:pStyle w:val="Compact"/>
      </w:pPr>
      <w:r>
        <w:t xml:space="preserve">Mensajes respuesta OUT (API, XML…)</w:t>
      </w:r>
    </w:p>
    <w:p>
      <w:pPr>
        <w:numPr>
          <w:ilvl w:val="0"/>
          <w:numId w:val="1031"/>
        </w:numPr>
        <w:pStyle w:val="Compact"/>
      </w:pPr>
      <w:r>
        <w:t xml:space="preserve">Mensajes excepción (API, XML…)</w:t>
      </w:r>
    </w:p>
    <w:p>
      <w:pPr>
        <w:numPr>
          <w:ilvl w:val="0"/>
          <w:numId w:val="1031"/>
        </w:numPr>
        <w:pStyle w:val="Compact"/>
      </w:pPr>
      <w:r>
        <w:t xml:space="preserve">Transporte (REST, SOAP)</w:t>
      </w:r>
    </w:p>
    <w:p>
      <w:pPr>
        <w:numPr>
          <w:ilvl w:val="0"/>
          <w:numId w:val="1031"/>
        </w:numPr>
        <w:pStyle w:val="Compact"/>
      </w:pPr>
      <w:r>
        <w:t xml:space="preserve">Función lógica (JEE, …)</w:t>
      </w:r>
    </w:p>
    <w:p>
      <w:pPr>
        <w:numPr>
          <w:ilvl w:val="0"/>
          <w:numId w:val="1031"/>
        </w:numPr>
        <w:pStyle w:val="Compact"/>
      </w:pPr>
      <w:r>
        <w:t xml:space="preserve">Registro y envío de actividad</w:t>
      </w:r>
    </w:p>
    <w:p>
      <w:pPr>
        <w:pStyle w:val="FirstParagraph"/>
      </w:pPr>
      <w:r>
        <w:t xml:space="preserve">** REQR11. Integración Gestión Medida Protección**</w:t>
      </w:r>
      <w:r>
        <w:t xml:space="preserve"> </w:t>
      </w: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92"/>
    <w:bookmarkStart w:id="93" w:name="Xe2a2e48a481680c1d6185fe541c11ce4fece4bc"/>
    <w:p>
      <w:pPr>
        <w:pStyle w:val="Heading3"/>
      </w:pPr>
      <w:r>
        <w:t xml:space="preserve">Índice de la documentación (casos de uso)</w:t>
      </w:r>
    </w:p>
    <w:p>
      <w:pPr>
        <w:numPr>
          <w:ilvl w:val="0"/>
          <w:numId w:val="1032"/>
        </w:numPr>
        <w:pStyle w:val="Compact"/>
      </w:pPr>
      <w:r>
        <w:t xml:space="preserve">Caso de Uso 1. Integrar Radicar MP</w:t>
      </w:r>
    </w:p>
    <w:p>
      <w:pPr>
        <w:numPr>
          <w:ilvl w:val="0"/>
          <w:numId w:val="1032"/>
        </w:numPr>
        <w:pStyle w:val="Compact"/>
      </w:pPr>
      <w:r>
        <w:t xml:space="preserve">Caso de Uso 2. Integrar Indexar Imagen</w:t>
      </w:r>
    </w:p>
    <w:p>
      <w:pPr>
        <w:pStyle w:val="FirstParagraph"/>
      </w:pPr>
      <w:r>
        <w:rPr>
          <w:bCs/>
          <w:b/>
        </w:rPr>
        <w:t xml:space="preserve">Valor: Apoyar la gestión médica</w:t>
      </w:r>
      <w:r>
        <w:t xml:space="preserve"> </w:t>
      </w:r>
      <w:r>
        <w:t xml:space="preserve">Valor: el requerimientos genera entregables de valor para la gestión médica de JEP.</w:t>
      </w:r>
    </w:p>
    <w:p>
      <w:pPr>
        <w:pStyle w:val="BodyText"/>
      </w:pPr>
      <w:r>
        <w:rPr>
          <w:bCs/>
          <w:b/>
        </w:rPr>
        <w:t xml:space="preserve">Restricción: Levantamiento</w:t>
      </w:r>
      <w:r>
        <w:t xml:space="preserve"> </w:t>
      </w:r>
      <w:r>
        <w:t xml:space="preserve">El requerimiento está condicionado por la completitud del levantamiento.</w:t>
      </w:r>
    </w:p>
    <w:bookmarkEnd w:id="93"/>
    <w:bookmarkEnd w:id="94"/>
    <w:bookmarkStart w:id="100" w:name="sec:requerimientos-de-integración-jep-2"/>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33"/>
        </w:numPr>
        <w:pStyle w:val="Compact"/>
      </w:pPr>
      <w:r>
        <w:t xml:space="preserve">Implementación de 20 o más servicios de integración al 31 de diciembre del 2024.</w:t>
      </w:r>
    </w:p>
    <w:p>
      <w:pPr>
        <w:numPr>
          <w:ilvl w:val="0"/>
          <w:numId w:val="1033"/>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34"/>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34"/>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34"/>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447566"/>
            <wp:effectExtent b="0" l="0" r="0" t="0"/>
            <wp:docPr descr="05.REQR.1n.1c. Requerimiento. Fuente: Repositorio arquitectura Integración JEP (2024)" title="" id="96" name="Picture"/>
            <a:graphic>
              <a:graphicData uri="http://schemas.openxmlformats.org/drawingml/2006/picture">
                <pic:pic>
                  <pic:nvPicPr>
                    <pic:cNvPr descr="images/05.REQR.1n.1c.Requerimiento.png" id="97" name="Picture"/>
                    <pic:cNvPicPr>
                      <a:picLocks noChangeArrowheads="1" noChangeAspect="1"/>
                    </pic:cNvPicPr>
                  </pic:nvPicPr>
                  <pic:blipFill>
                    <a:blip r:embed="rId95"/>
                    <a:stretch>
                      <a:fillRect/>
                    </a:stretch>
                  </pic:blipFill>
                  <pic:spPr bwMode="auto">
                    <a:xfrm>
                      <a:off x="0" y="0"/>
                      <a:ext cx="5207000" cy="2447566"/>
                    </a:xfrm>
                    <a:prstGeom prst="rect">
                      <a:avLst/>
                    </a:prstGeom>
                    <a:noFill/>
                    <a:ln w="9525">
                      <a:noFill/>
                      <a:headEnd/>
                      <a:tailEnd/>
                    </a:ln>
                  </pic:spPr>
                </pic:pic>
              </a:graphicData>
            </a:graphic>
          </wp:inline>
        </w:drawing>
      </w:r>
    </w:p>
    <w:p>
      <w:pPr>
        <w:pStyle w:val="ImageCaption"/>
      </w:pPr>
      <w:r>
        <w:t xml:space="preserve">Figura 9: 05.REQR.1n.1c. Requerimiento.</w:t>
      </w:r>
      <w:r>
        <w:t xml:space="preserve"> </w:t>
      </w:r>
      <w:r>
        <w:rPr>
          <w:iCs/>
          <w:i/>
        </w:rPr>
        <w:t xml:space="preserve">Fuente: Repositorio arquitectura Integración JEP (2024)</w:t>
      </w:r>
    </w:p>
    <w:bookmarkStart w:id="98" w:name="sec:catálogo-de-elementos-7"/>
    <w:p>
      <w:pPr>
        <w:pStyle w:val="Heading3"/>
      </w:pPr>
      <w:r>
        <w:t xml:space="preserve">Catálogo de Elementos</w:t>
      </w:r>
    </w:p>
    <w:p>
      <w:pPr>
        <w:pStyle w:val="FirstParagraph"/>
      </w:pPr>
      <w:r>
        <w:rPr>
          <w:bCs/>
          <w:b/>
        </w:rPr>
        <w:t xml:space="preserve">Plan Producción: Scrum y Gerencia</w:t>
      </w:r>
    </w:p>
    <w:p>
      <w:pPr>
        <w:pStyle w:val="BodyText"/>
      </w:pPr>
      <w:r>
        <w:rPr>
          <w:bCs/>
          <w:b/>
        </w:rPr>
        <w:t xml:space="preserve">Problema 4</w:t>
      </w:r>
    </w:p>
    <w:p>
      <w:pPr>
        <w:pStyle w:val="BodyText"/>
      </w:pPr>
      <w:r>
        <w:rPr>
          <w:bCs/>
          <w:b/>
        </w:rPr>
        <w:t xml:space="preserve">Solución 4</w:t>
      </w:r>
    </w:p>
    <w:p>
      <w:pPr>
        <w:pStyle w:val="BodyText"/>
      </w:pPr>
      <w:r>
        <w:rPr>
          <w:bCs/>
          <w:b/>
        </w:rPr>
        <w:t xml:space="preserve">SINT20. Personas</w:t>
      </w:r>
      <w:r>
        <w:t xml:space="preserve"> </w:t>
      </w:r>
      <w:r>
        <w:t xml:space="preserve">Tareas de desarrollo</w:t>
      </w:r>
    </w:p>
    <w:p>
      <w:pPr>
        <w:numPr>
          <w:ilvl w:val="0"/>
          <w:numId w:val="1035"/>
        </w:numPr>
        <w:pStyle w:val="Compact"/>
      </w:pPr>
      <w:r>
        <w:t xml:space="preserve">Interoperabilidad IOP1. Transporte / Entrega Consulta Negocio</w:t>
      </w:r>
    </w:p>
    <w:p>
      <w:pPr>
        <w:numPr>
          <w:ilvl w:val="0"/>
          <w:numId w:val="1035"/>
        </w:numPr>
        <w:pStyle w:val="Compact"/>
      </w:pPr>
      <w:r>
        <w:t xml:space="preserve">Modelo de datos (XML, RBDMS, …)</w:t>
      </w:r>
    </w:p>
    <w:p>
      <w:pPr>
        <w:numPr>
          <w:ilvl w:val="0"/>
          <w:numId w:val="1035"/>
        </w:numPr>
        <w:pStyle w:val="Compact"/>
      </w:pPr>
      <w:r>
        <w:t xml:space="preserve">Esquema de datos (XSD, DTD, JSON-E…)</w:t>
      </w:r>
    </w:p>
    <w:p>
      <w:pPr>
        <w:numPr>
          <w:ilvl w:val="0"/>
          <w:numId w:val="1035"/>
        </w:numPr>
        <w:pStyle w:val="Compact"/>
      </w:pPr>
      <w:r>
        <w:t xml:space="preserve">Contratos de interoperabilidad (WSDL, API…)</w:t>
      </w:r>
    </w:p>
    <w:p>
      <w:pPr>
        <w:numPr>
          <w:ilvl w:val="0"/>
          <w:numId w:val="1035"/>
        </w:numPr>
        <w:pStyle w:val="Compact"/>
      </w:pPr>
      <w:r>
        <w:t xml:space="preserve">Mensajes petición IN (API, XML…)</w:t>
      </w:r>
    </w:p>
    <w:p>
      <w:pPr>
        <w:numPr>
          <w:ilvl w:val="0"/>
          <w:numId w:val="1035"/>
        </w:numPr>
        <w:pStyle w:val="Compact"/>
      </w:pPr>
      <w:r>
        <w:t xml:space="preserve">Mensajes respuesta OUT (API, XML…)</w:t>
      </w:r>
    </w:p>
    <w:p>
      <w:pPr>
        <w:numPr>
          <w:ilvl w:val="0"/>
          <w:numId w:val="1035"/>
        </w:numPr>
        <w:pStyle w:val="Compact"/>
      </w:pPr>
      <w:r>
        <w:t xml:space="preserve">Mensajes excepción (API, XML…)</w:t>
      </w:r>
    </w:p>
    <w:p>
      <w:pPr>
        <w:numPr>
          <w:ilvl w:val="0"/>
          <w:numId w:val="1035"/>
        </w:numPr>
        <w:pStyle w:val="Compact"/>
      </w:pPr>
      <w:r>
        <w:t xml:space="preserve">Transporte (REST, SOAP)</w:t>
      </w:r>
    </w:p>
    <w:p>
      <w:pPr>
        <w:numPr>
          <w:ilvl w:val="0"/>
          <w:numId w:val="1035"/>
        </w:numPr>
        <w:pStyle w:val="Compact"/>
      </w:pPr>
      <w:r>
        <w:t xml:space="preserve">Función lógica (JEE, …)</w:t>
      </w:r>
    </w:p>
    <w:p>
      <w:pPr>
        <w:numPr>
          <w:ilvl w:val="0"/>
          <w:numId w:val="1035"/>
        </w:numPr>
        <w:pStyle w:val="Compact"/>
      </w:pPr>
      <w:r>
        <w:t xml:space="preserve">Registro y envío de actividad</w:t>
      </w:r>
    </w:p>
    <w:p>
      <w:pPr>
        <w:pStyle w:val="FirstParagraph"/>
      </w:pPr>
      <w:r>
        <w:rPr>
          <w:bCs/>
          <w:b/>
        </w:rPr>
        <w:t xml:space="preserve">SINT25. Procesos de la persona</w:t>
      </w:r>
      <w:r>
        <w:t xml:space="preserve"> </w:t>
      </w:r>
      <w:r>
        <w:t xml:space="preserve">Tareas de desarrollo</w:t>
      </w:r>
    </w:p>
    <w:p>
      <w:pPr>
        <w:numPr>
          <w:ilvl w:val="0"/>
          <w:numId w:val="1036"/>
        </w:numPr>
        <w:pStyle w:val="Compact"/>
      </w:pPr>
      <w:r>
        <w:t xml:space="preserve">Interoperabilidad IOP1. Transporte / Entrega Consulta Negocio</w:t>
      </w:r>
    </w:p>
    <w:p>
      <w:pPr>
        <w:numPr>
          <w:ilvl w:val="0"/>
          <w:numId w:val="1036"/>
        </w:numPr>
        <w:pStyle w:val="Compact"/>
      </w:pPr>
      <w:r>
        <w:t xml:space="preserve">Modelo de datos (XML, RBDMS, …)</w:t>
      </w:r>
    </w:p>
    <w:p>
      <w:pPr>
        <w:numPr>
          <w:ilvl w:val="0"/>
          <w:numId w:val="1036"/>
        </w:numPr>
        <w:pStyle w:val="Compact"/>
      </w:pPr>
      <w:r>
        <w:t xml:space="preserve">Esquema de datos (XSD, DTD, JSON-E…)</w:t>
      </w:r>
    </w:p>
    <w:p>
      <w:pPr>
        <w:numPr>
          <w:ilvl w:val="0"/>
          <w:numId w:val="1036"/>
        </w:numPr>
        <w:pStyle w:val="Compact"/>
      </w:pPr>
      <w:r>
        <w:t xml:space="preserve">Contratos de interoperabilidad (WSDL, API…)</w:t>
      </w:r>
    </w:p>
    <w:p>
      <w:pPr>
        <w:numPr>
          <w:ilvl w:val="0"/>
          <w:numId w:val="1036"/>
        </w:numPr>
        <w:pStyle w:val="Compact"/>
      </w:pPr>
      <w:r>
        <w:t xml:space="preserve">Mensajes petición IN (API, XML…)</w:t>
      </w:r>
    </w:p>
    <w:p>
      <w:pPr>
        <w:numPr>
          <w:ilvl w:val="0"/>
          <w:numId w:val="1036"/>
        </w:numPr>
        <w:pStyle w:val="Compact"/>
      </w:pPr>
      <w:r>
        <w:t xml:space="preserve">Mensajes respuesta OUT (API, XML…)</w:t>
      </w:r>
    </w:p>
    <w:p>
      <w:pPr>
        <w:numPr>
          <w:ilvl w:val="0"/>
          <w:numId w:val="1036"/>
        </w:numPr>
        <w:pStyle w:val="Compact"/>
      </w:pPr>
      <w:r>
        <w:t xml:space="preserve">Mensajes excepción (API, XML…)</w:t>
      </w:r>
    </w:p>
    <w:p>
      <w:pPr>
        <w:numPr>
          <w:ilvl w:val="0"/>
          <w:numId w:val="1036"/>
        </w:numPr>
        <w:pStyle w:val="Compact"/>
      </w:pPr>
      <w:r>
        <w:t xml:space="preserve">Transporte (REST, SOAP)</w:t>
      </w:r>
    </w:p>
    <w:p>
      <w:pPr>
        <w:numPr>
          <w:ilvl w:val="0"/>
          <w:numId w:val="1036"/>
        </w:numPr>
        <w:pStyle w:val="Compact"/>
      </w:pPr>
      <w:r>
        <w:t xml:space="preserve">Función lógica (JEE, …)</w:t>
      </w:r>
    </w:p>
    <w:p>
      <w:pPr>
        <w:numPr>
          <w:ilvl w:val="0"/>
          <w:numId w:val="1036"/>
        </w:numPr>
        <w:pStyle w:val="Compact"/>
      </w:pPr>
      <w:r>
        <w:t xml:space="preserve">Registro y envío de actividad</w:t>
      </w:r>
    </w:p>
    <w:p>
      <w:pPr>
        <w:pStyle w:val="FirstParagraph"/>
      </w:pPr>
      <w:r>
        <w:rPr>
          <w:bCs/>
          <w:b/>
        </w:rPr>
        <w:t xml:space="preserve">SINT21. Persona</w:t>
      </w:r>
      <w:r>
        <w:t xml:space="preserve"> </w:t>
      </w:r>
      <w:r>
        <w:t xml:space="preserve">Tareas de desarrollo</w:t>
      </w:r>
    </w:p>
    <w:p>
      <w:pPr>
        <w:numPr>
          <w:ilvl w:val="0"/>
          <w:numId w:val="1037"/>
        </w:numPr>
        <w:pStyle w:val="Compact"/>
      </w:pPr>
      <w:r>
        <w:t xml:space="preserve">Interoperabilidad IOP1. Transporte / Entrega Consulta Negocio</w:t>
      </w:r>
    </w:p>
    <w:p>
      <w:pPr>
        <w:numPr>
          <w:ilvl w:val="0"/>
          <w:numId w:val="1037"/>
        </w:numPr>
        <w:pStyle w:val="Compact"/>
      </w:pPr>
      <w:r>
        <w:t xml:space="preserve">Modelo de datos (XML, RBDMS, …)</w:t>
      </w:r>
    </w:p>
    <w:p>
      <w:pPr>
        <w:numPr>
          <w:ilvl w:val="0"/>
          <w:numId w:val="1037"/>
        </w:numPr>
        <w:pStyle w:val="Compact"/>
      </w:pPr>
      <w:r>
        <w:t xml:space="preserve">Esquema de datos (XSD, DTD, JSON-E…)</w:t>
      </w:r>
    </w:p>
    <w:p>
      <w:pPr>
        <w:numPr>
          <w:ilvl w:val="0"/>
          <w:numId w:val="1037"/>
        </w:numPr>
        <w:pStyle w:val="Compact"/>
      </w:pPr>
      <w:r>
        <w:t xml:space="preserve">Contratos de interoperabilidad (WSDL, API…)</w:t>
      </w:r>
    </w:p>
    <w:p>
      <w:pPr>
        <w:numPr>
          <w:ilvl w:val="0"/>
          <w:numId w:val="1037"/>
        </w:numPr>
        <w:pStyle w:val="Compact"/>
      </w:pPr>
      <w:r>
        <w:t xml:space="preserve">Mensajes petición IN (API, XML…)</w:t>
      </w:r>
    </w:p>
    <w:p>
      <w:pPr>
        <w:numPr>
          <w:ilvl w:val="0"/>
          <w:numId w:val="1037"/>
        </w:numPr>
        <w:pStyle w:val="Compact"/>
      </w:pPr>
      <w:r>
        <w:t xml:space="preserve">Mensajes respuesta OUT (API, XML…)</w:t>
      </w:r>
    </w:p>
    <w:p>
      <w:pPr>
        <w:numPr>
          <w:ilvl w:val="0"/>
          <w:numId w:val="1037"/>
        </w:numPr>
        <w:pStyle w:val="Compact"/>
      </w:pPr>
      <w:r>
        <w:t xml:space="preserve">Mensajes excepción (API, XML…)</w:t>
      </w:r>
    </w:p>
    <w:p>
      <w:pPr>
        <w:numPr>
          <w:ilvl w:val="0"/>
          <w:numId w:val="1037"/>
        </w:numPr>
        <w:pStyle w:val="Compact"/>
      </w:pPr>
      <w:r>
        <w:t xml:space="preserve">Transporte (REST, SOAP)</w:t>
      </w:r>
    </w:p>
    <w:p>
      <w:pPr>
        <w:numPr>
          <w:ilvl w:val="0"/>
          <w:numId w:val="1037"/>
        </w:numPr>
        <w:pStyle w:val="Compact"/>
      </w:pPr>
      <w:r>
        <w:t xml:space="preserve">Función lógica (JEE, …)</w:t>
      </w:r>
    </w:p>
    <w:p>
      <w:pPr>
        <w:numPr>
          <w:ilvl w:val="0"/>
          <w:numId w:val="1037"/>
        </w:numPr>
        <w:pStyle w:val="Compact"/>
      </w:pPr>
      <w:r>
        <w:t xml:space="preserve">Registro y envío de actividad</w:t>
      </w:r>
    </w:p>
    <w:p>
      <w:pPr>
        <w:pStyle w:val="FirstParagraph"/>
      </w:pPr>
      <w:r>
        <w:rPr>
          <w:bCs/>
          <w:b/>
        </w:rPr>
        <w:t xml:space="preserve">SINT26. Detalles del proceso</w:t>
      </w:r>
      <w:r>
        <w:t xml:space="preserve"> </w:t>
      </w: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p>
      <w:pPr>
        <w:pStyle w:val="FirstParagraph"/>
      </w:pPr>
      <w:r>
        <w:rPr>
          <w:bCs/>
          <w:b/>
        </w:rPr>
        <w:t xml:space="preserve">SINT22. Dirección de la persona</w:t>
      </w:r>
      <w:r>
        <w:t xml:space="preserve"> </w:t>
      </w: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p>
      <w:pPr>
        <w:pStyle w:val="FirstParagraph"/>
      </w:pPr>
      <w:r>
        <w:rPr>
          <w:bCs/>
          <w:b/>
        </w:rPr>
        <w:t xml:space="preserve">SINT23. Partes del proceso</w:t>
      </w:r>
      <w:r>
        <w:t xml:space="preserve"> </w:t>
      </w: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p>
      <w:pPr>
        <w:pStyle w:val="FirstParagraph"/>
      </w:pPr>
      <w:r>
        <w:rPr>
          <w:bCs/>
          <w:b/>
        </w:rPr>
        <w:t xml:space="preserve">SINT23. Teléfono de la persona</w:t>
      </w:r>
    </w:p>
    <w:p>
      <w:pPr>
        <w:pStyle w:val="BodyText"/>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p>
      <w:pPr>
        <w:pStyle w:val="FirstParagraph"/>
      </w:pPr>
      <w:r>
        <w:rPr>
          <w:bCs/>
          <w:b/>
        </w:rPr>
        <w:t xml:space="preserve">SINT26. Asociación de parte del proceso</w:t>
      </w:r>
      <w:r>
        <w:t xml:space="preserve"> </w:t>
      </w:r>
      <w:r>
        <w:t xml:space="preserve">Tareas de desarrollo</w:t>
      </w:r>
    </w:p>
    <w:p>
      <w:pPr>
        <w:numPr>
          <w:ilvl w:val="0"/>
          <w:numId w:val="1042"/>
        </w:numPr>
        <w:pStyle w:val="Compact"/>
      </w:pPr>
      <w:r>
        <w:t xml:space="preserve">Interoperabilidad IOP1. Transporte / Entrega Consulta Negocio</w:t>
      </w:r>
    </w:p>
    <w:p>
      <w:pPr>
        <w:numPr>
          <w:ilvl w:val="0"/>
          <w:numId w:val="1042"/>
        </w:numPr>
        <w:pStyle w:val="Compact"/>
      </w:pPr>
      <w:r>
        <w:t xml:space="preserve">Modelo de datos (XML, RBDMS, …)</w:t>
      </w:r>
    </w:p>
    <w:p>
      <w:pPr>
        <w:numPr>
          <w:ilvl w:val="0"/>
          <w:numId w:val="1042"/>
        </w:numPr>
        <w:pStyle w:val="Compact"/>
      </w:pPr>
      <w:r>
        <w:t xml:space="preserve">Esquema de datos (XSD, DTD, JSON-E…)</w:t>
      </w:r>
    </w:p>
    <w:p>
      <w:pPr>
        <w:numPr>
          <w:ilvl w:val="0"/>
          <w:numId w:val="1042"/>
        </w:numPr>
        <w:pStyle w:val="Compact"/>
      </w:pPr>
      <w:r>
        <w:t xml:space="preserve">Contratos de interoperabilidad (WSDL, API…)</w:t>
      </w:r>
    </w:p>
    <w:p>
      <w:pPr>
        <w:numPr>
          <w:ilvl w:val="0"/>
          <w:numId w:val="1042"/>
        </w:numPr>
        <w:pStyle w:val="Compact"/>
      </w:pPr>
      <w:r>
        <w:t xml:space="preserve">Mensajes petición IN (API, XML…)</w:t>
      </w:r>
    </w:p>
    <w:p>
      <w:pPr>
        <w:numPr>
          <w:ilvl w:val="0"/>
          <w:numId w:val="1042"/>
        </w:numPr>
        <w:pStyle w:val="Compact"/>
      </w:pPr>
      <w:r>
        <w:t xml:space="preserve">Mensajes respuesta OUT (API, XML…)</w:t>
      </w:r>
    </w:p>
    <w:p>
      <w:pPr>
        <w:numPr>
          <w:ilvl w:val="0"/>
          <w:numId w:val="1042"/>
        </w:numPr>
        <w:pStyle w:val="Compact"/>
      </w:pPr>
      <w:r>
        <w:t xml:space="preserve">Mensajes excepción (API, XML…)</w:t>
      </w:r>
    </w:p>
    <w:p>
      <w:pPr>
        <w:numPr>
          <w:ilvl w:val="0"/>
          <w:numId w:val="1042"/>
        </w:numPr>
        <w:pStyle w:val="Compact"/>
      </w:pPr>
      <w:r>
        <w:t xml:space="preserve">Transporte (REST, SOAP)</w:t>
      </w:r>
    </w:p>
    <w:p>
      <w:pPr>
        <w:numPr>
          <w:ilvl w:val="0"/>
          <w:numId w:val="1042"/>
        </w:numPr>
        <w:pStyle w:val="Compact"/>
      </w:pPr>
      <w:r>
        <w:t xml:space="preserve">Función lógica (JEE, …)</w:t>
      </w:r>
    </w:p>
    <w:p>
      <w:pPr>
        <w:numPr>
          <w:ilvl w:val="0"/>
          <w:numId w:val="1042"/>
        </w:numPr>
        <w:pStyle w:val="Compact"/>
      </w:pPr>
      <w:r>
        <w:t xml:space="preserve">Registro y envío de actividad</w:t>
      </w:r>
    </w:p>
    <w:p>
      <w:pPr>
        <w:pStyle w:val="FirstParagraph"/>
      </w:pPr>
      <w:r>
        <w:rPr>
          <w:bCs/>
          <w:b/>
        </w:rPr>
        <w:t xml:space="preserve">SINT27. Paginación</w:t>
      </w:r>
      <w:r>
        <w:t xml:space="preserve"> </w:t>
      </w:r>
      <w:r>
        <w:t xml:space="preserve">Tareas de desarrollo</w:t>
      </w:r>
    </w:p>
    <w:p>
      <w:pPr>
        <w:numPr>
          <w:ilvl w:val="0"/>
          <w:numId w:val="1043"/>
        </w:numPr>
        <w:pStyle w:val="Compact"/>
      </w:pPr>
      <w:r>
        <w:t xml:space="preserve">Interoperabilidad IOP1. Transporte / Entrega Consulta Negocio</w:t>
      </w:r>
    </w:p>
    <w:p>
      <w:pPr>
        <w:numPr>
          <w:ilvl w:val="0"/>
          <w:numId w:val="1043"/>
        </w:numPr>
        <w:pStyle w:val="Compact"/>
      </w:pPr>
      <w:r>
        <w:t xml:space="preserve">Modelo de datos (XML, RBDMS, …)</w:t>
      </w:r>
    </w:p>
    <w:p>
      <w:pPr>
        <w:numPr>
          <w:ilvl w:val="0"/>
          <w:numId w:val="1043"/>
        </w:numPr>
        <w:pStyle w:val="Compact"/>
      </w:pPr>
      <w:r>
        <w:t xml:space="preserve">Esquema de datos (XSD, DTD, JSON-E…)</w:t>
      </w:r>
    </w:p>
    <w:p>
      <w:pPr>
        <w:numPr>
          <w:ilvl w:val="0"/>
          <w:numId w:val="1043"/>
        </w:numPr>
        <w:pStyle w:val="Compact"/>
      </w:pPr>
      <w:r>
        <w:t xml:space="preserve">Contratos de interoperabilidad (WSDL, API…)</w:t>
      </w:r>
    </w:p>
    <w:p>
      <w:pPr>
        <w:numPr>
          <w:ilvl w:val="0"/>
          <w:numId w:val="1043"/>
        </w:numPr>
        <w:pStyle w:val="Compact"/>
      </w:pPr>
      <w:r>
        <w:t xml:space="preserve">Mensajes petición IN (API, XML…)</w:t>
      </w:r>
    </w:p>
    <w:p>
      <w:pPr>
        <w:numPr>
          <w:ilvl w:val="0"/>
          <w:numId w:val="1043"/>
        </w:numPr>
        <w:pStyle w:val="Compact"/>
      </w:pPr>
      <w:r>
        <w:t xml:space="preserve">Mensajes respuesta OUT (API, XML…)</w:t>
      </w:r>
    </w:p>
    <w:p>
      <w:pPr>
        <w:numPr>
          <w:ilvl w:val="0"/>
          <w:numId w:val="1043"/>
        </w:numPr>
        <w:pStyle w:val="Compact"/>
      </w:pPr>
      <w:r>
        <w:t xml:space="preserve">Mensajes excepción (API, XML…)</w:t>
      </w:r>
    </w:p>
    <w:p>
      <w:pPr>
        <w:numPr>
          <w:ilvl w:val="0"/>
          <w:numId w:val="1043"/>
        </w:numPr>
        <w:pStyle w:val="Compact"/>
      </w:pPr>
      <w:r>
        <w:t xml:space="preserve">Transporte (REST, SOAP)</w:t>
      </w:r>
    </w:p>
    <w:p>
      <w:pPr>
        <w:numPr>
          <w:ilvl w:val="0"/>
          <w:numId w:val="1043"/>
        </w:numPr>
        <w:pStyle w:val="Compact"/>
      </w:pPr>
      <w:r>
        <w:t xml:space="preserve">Función lógica (JEE, …)</w:t>
      </w:r>
    </w:p>
    <w:p>
      <w:pPr>
        <w:numPr>
          <w:ilvl w:val="0"/>
          <w:numId w:val="1043"/>
        </w:numPr>
        <w:pStyle w:val="Compact"/>
      </w:pPr>
      <w:r>
        <w:t xml:space="preserve">Registro y envío de actividad</w:t>
      </w:r>
    </w:p>
    <w:p>
      <w:pPr>
        <w:pStyle w:val="FirstParagraph"/>
      </w:pPr>
      <w:r>
        <w:rPr>
          <w:bCs/>
          <w:b/>
        </w:rPr>
        <w:t xml:space="preserve">Objetivo: Contractual</w:t>
      </w:r>
      <w:r>
        <w:t xml:space="preserve"> </w:t>
      </w:r>
      <w:r>
        <w:t xml:space="preserve">El requerimiento tiene carácter contractual.</w:t>
      </w:r>
    </w:p>
    <w:p>
      <w:pPr>
        <w:pStyle w:val="BodyText"/>
      </w:pPr>
      <w:r>
        <w:rPr>
          <w:bCs/>
          <w:b/>
        </w:rPr>
        <w:t xml:space="preserve">REQR12. Integración Legali x Protecti</w:t>
      </w:r>
      <w:r>
        <w:t xml:space="preserve"> </w:t>
      </w:r>
      <w:r>
        <w:t xml:space="preserve">Documentación API de integración. Creación de documento técnico para el consumo de servicios web.</w:t>
      </w:r>
    </w:p>
    <w:p>
      <w:pPr>
        <w:pStyle w:val="BodyText"/>
      </w:pPr>
      <w:r>
        <w:t xml:space="preserve">Fuente: Documentación técnica - API Integración - Consulta de personas (pdf). Pedro Escobar, ing.</w:t>
      </w:r>
    </w:p>
    <w:bookmarkEnd w:id="98"/>
    <w:bookmarkStart w:id="99" w:name="Xf3f2a5b00035c349fdba78c62a0da344d81b6a9"/>
    <w:p>
      <w:pPr>
        <w:pStyle w:val="Heading3"/>
      </w:pPr>
      <w:r>
        <w:t xml:space="preserve">Índice de la documentación (casos de uso)</w:t>
      </w:r>
    </w:p>
    <w:p>
      <w:pPr>
        <w:numPr>
          <w:ilvl w:val="0"/>
          <w:numId w:val="1044"/>
        </w:numPr>
        <w:pStyle w:val="Compact"/>
      </w:pPr>
      <w:r>
        <w:t xml:space="preserve">Personas</w:t>
      </w:r>
    </w:p>
    <w:p>
      <w:pPr>
        <w:numPr>
          <w:ilvl w:val="0"/>
          <w:numId w:val="1044"/>
        </w:numPr>
        <w:pStyle w:val="Compact"/>
      </w:pPr>
      <w:r>
        <w:t xml:space="preserve">Persona</w:t>
      </w:r>
    </w:p>
    <w:p>
      <w:pPr>
        <w:numPr>
          <w:ilvl w:val="0"/>
          <w:numId w:val="1044"/>
        </w:numPr>
        <w:pStyle w:val="Compact"/>
      </w:pPr>
      <w:r>
        <w:t xml:space="preserve">Dirección de la persona</w:t>
      </w:r>
    </w:p>
    <w:p>
      <w:pPr>
        <w:numPr>
          <w:ilvl w:val="0"/>
          <w:numId w:val="1044"/>
        </w:numPr>
        <w:pStyle w:val="Compact"/>
      </w:pPr>
      <w:r>
        <w:t xml:space="preserve">Teléfono de la persona</w:t>
      </w:r>
    </w:p>
    <w:p>
      <w:pPr>
        <w:numPr>
          <w:ilvl w:val="0"/>
          <w:numId w:val="1044"/>
        </w:numPr>
        <w:pStyle w:val="Compact"/>
      </w:pPr>
      <w:r>
        <w:t xml:space="preserve">Procesos de la persona</w:t>
      </w:r>
    </w:p>
    <w:p>
      <w:pPr>
        <w:numPr>
          <w:ilvl w:val="0"/>
          <w:numId w:val="1044"/>
        </w:numPr>
        <w:pStyle w:val="Compact"/>
      </w:pPr>
      <w:r>
        <w:t xml:space="preserve">Detalles del proceso</w:t>
      </w:r>
    </w:p>
    <w:p>
      <w:pPr>
        <w:numPr>
          <w:ilvl w:val="0"/>
          <w:numId w:val="1044"/>
        </w:numPr>
        <w:pStyle w:val="Compact"/>
      </w:pPr>
      <w:r>
        <w:t xml:space="preserve">Partes del proceso</w:t>
      </w:r>
    </w:p>
    <w:p>
      <w:pPr>
        <w:numPr>
          <w:ilvl w:val="0"/>
          <w:numId w:val="1044"/>
        </w:numPr>
        <w:pStyle w:val="Compact"/>
      </w:pPr>
      <w:r>
        <w:t xml:space="preserve">Asociación de parte del proceso</w:t>
      </w:r>
    </w:p>
    <w:p>
      <w:pPr>
        <w:numPr>
          <w:ilvl w:val="0"/>
          <w:numId w:val="1044"/>
        </w:numPr>
        <w:pStyle w:val="Compact"/>
      </w:pPr>
      <w:r>
        <w:t xml:space="preserve">Paginación</w:t>
      </w:r>
    </w:p>
    <w:p>
      <w:pPr>
        <w:pStyle w:val="FirstParagraph"/>
      </w:pPr>
      <w:r>
        <w:rPr>
          <w:bCs/>
          <w:b/>
        </w:rPr>
        <w:t xml:space="preserve">Valor: Apoyar la gestión médica</w:t>
      </w:r>
      <w:r>
        <w:t xml:space="preserve"> </w:t>
      </w:r>
      <w:r>
        <w:t xml:space="preserve">Valor: el requerimientos genera entregables de valor para la gestión médica de JEP.</w:t>
      </w:r>
    </w:p>
    <w:p>
      <w:pPr>
        <w:pStyle w:val="BodyText"/>
      </w:pPr>
      <w:r>
        <w:rPr>
          <w:bCs/>
          <w:b/>
        </w:rPr>
        <w:t xml:space="preserve">Restricción: Levantamiento</w:t>
      </w:r>
      <w:r>
        <w:t xml:space="preserve"> </w:t>
      </w:r>
      <w:r>
        <w:t xml:space="preserve">El requerimiento está condicionado por la completitud del levantamiento.</w:t>
      </w:r>
    </w:p>
    <w:bookmarkEnd w:id="99"/>
    <w:bookmarkEnd w:id="100"/>
    <w:bookmarkEnd w:id="101"/>
    <w:bookmarkStart w:id="122" w:name="X61dfa82c97a3a580f97c53606d360ebf1f71057"/>
    <w:p>
      <w:pPr>
        <w:pStyle w:val="Heading1"/>
      </w:pPr>
      <w:r>
        <w:t xml:space="preserve">Modelo de Entrega y Despliegue de Requerimientos</w:t>
      </w:r>
    </w:p>
    <w:bookmarkStart w:id="115"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103" name="Picture"/>
            <a:graphic>
              <a:graphicData uri="http://schemas.openxmlformats.org/drawingml/2006/picture">
                <pic:pic>
                  <pic:nvPicPr>
                    <pic:cNvPr descr="images/06.ENTRG.1n.1a.GestiónEntregasdeRequerimientos.png" id="104" name="Picture"/>
                    <pic:cNvPicPr>
                      <a:picLocks noChangeArrowheads="1" noChangeAspect="1"/>
                    </pic:cNvPicPr>
                  </pic:nvPicPr>
                  <pic:blipFill>
                    <a:blip r:embed="rId102"/>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10: 06.ENTRG.1n.1a. Gestión Entregas de Requerimientos.</w:t>
      </w:r>
      <w:r>
        <w:t xml:space="preserve"> </w:t>
      </w:r>
      <w:r>
        <w:rPr>
          <w:iCs/>
          <w:i/>
        </w:rPr>
        <w:t xml:space="preserve">Fuente: Repositorio arquitectura Integración JEP (2024)</w:t>
      </w:r>
    </w:p>
    <w:bookmarkStart w:id="105" w:name="sec:catálogo-de-elementos-8"/>
    <w:p>
      <w:pPr>
        <w:pStyle w:val="Heading3"/>
      </w:pPr>
      <w:r>
        <w:t xml:space="preserve">Catálogo de Elementos</w:t>
      </w:r>
    </w:p>
    <w:bookmarkEnd w:id="105"/>
    <w:bookmarkStart w:id="106" w:name="sec:integrar-operaciones-conti"/>
    <w:p>
      <w:pPr>
        <w:pStyle w:val="Heading3"/>
      </w:pPr>
      <w:r>
        <w:t xml:space="preserve">Integrar operaciones Conti</w:t>
      </w:r>
    </w:p>
    <w:p>
      <w:pPr>
        <w:pStyle w:val="FirstParagraph"/>
      </w:pPr>
      <w:r>
        <w:t xml:space="preserve">Característica de integración de Conti contenido en la solución de integración JEP, 2024.</w:t>
      </w:r>
    </w:p>
    <w:bookmarkEnd w:id="106"/>
    <w:bookmarkStart w:id="107"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107"/>
    <w:bookmarkStart w:id="109"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08" w:name="X86137576b43553b931cb6462cf9744a43786633"/>
    <w:p>
      <w:pPr>
        <w:pStyle w:val="Heading4"/>
      </w:pPr>
      <w:r>
        <w:t xml:space="preserve">Índice de la documentación (casos de uso)</w:t>
      </w:r>
    </w:p>
    <w:p>
      <w:pPr>
        <w:numPr>
          <w:ilvl w:val="0"/>
          <w:numId w:val="1045"/>
        </w:numPr>
        <w:pStyle w:val="Compact"/>
      </w:pPr>
      <w:r>
        <w:t xml:space="preserve">Integración. Ingreso a Conti</w:t>
      </w:r>
    </w:p>
    <w:p>
      <w:pPr>
        <w:numPr>
          <w:ilvl w:val="0"/>
          <w:numId w:val="1045"/>
        </w:numPr>
        <w:pStyle w:val="Compact"/>
      </w:pPr>
      <w:r>
        <w:t xml:space="preserve">Integración. Consulta ítem de Conti</w:t>
      </w:r>
    </w:p>
    <w:p>
      <w:pPr>
        <w:numPr>
          <w:ilvl w:val="0"/>
          <w:numId w:val="1045"/>
        </w:numPr>
        <w:pStyle w:val="Compact"/>
      </w:pPr>
      <w:r>
        <w:t xml:space="preserve">Integración. Radicar ítem</w:t>
      </w:r>
    </w:p>
    <w:p>
      <w:pPr>
        <w:numPr>
          <w:ilvl w:val="0"/>
          <w:numId w:val="1045"/>
        </w:numPr>
        <w:pStyle w:val="Compact"/>
      </w:pPr>
      <w:r>
        <w:t xml:space="preserve">Integración. Generación de documentos</w:t>
      </w:r>
    </w:p>
    <w:bookmarkEnd w:id="108"/>
    <w:bookmarkEnd w:id="109"/>
    <w:bookmarkStart w:id="110" w:name="Xa03ebbf33588181d4cb1c310715fd298cbe0457"/>
    <w:p>
      <w:pPr>
        <w:pStyle w:val="Heading3"/>
      </w:pPr>
      <w:r>
        <w:t xml:space="preserve">SINT1. Integración. Ingreso a Conti</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0"/>
    <w:bookmarkStart w:id="111"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47"/>
        </w:numPr>
        <w:pStyle w:val="Compact"/>
      </w:pPr>
      <w:r>
        <w:t xml:space="preserve">Interoperabilidad IOP1. Transporte / Entrega Consulta Negocio</w:t>
      </w:r>
    </w:p>
    <w:p>
      <w:pPr>
        <w:numPr>
          <w:ilvl w:val="0"/>
          <w:numId w:val="1047"/>
        </w:numPr>
        <w:pStyle w:val="Compact"/>
      </w:pPr>
      <w:r>
        <w:t xml:space="preserve">Modelo de datos (XML, RBDMS, …)</w:t>
      </w:r>
    </w:p>
    <w:p>
      <w:pPr>
        <w:numPr>
          <w:ilvl w:val="0"/>
          <w:numId w:val="1047"/>
        </w:numPr>
        <w:pStyle w:val="Compact"/>
      </w:pPr>
      <w:r>
        <w:t xml:space="preserve">Esquema de datos (XSD, DTD, JSON-E…)</w:t>
      </w:r>
    </w:p>
    <w:p>
      <w:pPr>
        <w:numPr>
          <w:ilvl w:val="0"/>
          <w:numId w:val="1047"/>
        </w:numPr>
        <w:pStyle w:val="Compact"/>
      </w:pPr>
      <w:r>
        <w:t xml:space="preserve">Contratos de interoperabilidad (WSDL, API…)</w:t>
      </w:r>
    </w:p>
    <w:p>
      <w:pPr>
        <w:numPr>
          <w:ilvl w:val="0"/>
          <w:numId w:val="1047"/>
        </w:numPr>
        <w:pStyle w:val="Compact"/>
      </w:pPr>
      <w:r>
        <w:t xml:space="preserve">Mensajes petición IN (API, XML…)</w:t>
      </w:r>
    </w:p>
    <w:p>
      <w:pPr>
        <w:numPr>
          <w:ilvl w:val="0"/>
          <w:numId w:val="1047"/>
        </w:numPr>
        <w:pStyle w:val="Compact"/>
      </w:pPr>
      <w:r>
        <w:t xml:space="preserve">Mensajes respuesta OUT (API, XML…)</w:t>
      </w:r>
    </w:p>
    <w:p>
      <w:pPr>
        <w:numPr>
          <w:ilvl w:val="0"/>
          <w:numId w:val="1047"/>
        </w:numPr>
        <w:pStyle w:val="Compact"/>
      </w:pPr>
      <w:r>
        <w:t xml:space="preserve">Mensajes excepción (API, XML…)</w:t>
      </w:r>
    </w:p>
    <w:p>
      <w:pPr>
        <w:numPr>
          <w:ilvl w:val="0"/>
          <w:numId w:val="1047"/>
        </w:numPr>
        <w:pStyle w:val="Compact"/>
      </w:pPr>
      <w:r>
        <w:t xml:space="preserve">Transporte (REST, SOAP)</w:t>
      </w:r>
    </w:p>
    <w:p>
      <w:pPr>
        <w:numPr>
          <w:ilvl w:val="0"/>
          <w:numId w:val="1047"/>
        </w:numPr>
        <w:pStyle w:val="Compact"/>
      </w:pPr>
      <w:r>
        <w:t xml:space="preserve">Función lógica (JEE, …)</w:t>
      </w:r>
    </w:p>
    <w:p>
      <w:pPr>
        <w:numPr>
          <w:ilvl w:val="0"/>
          <w:numId w:val="1047"/>
        </w:numPr>
        <w:pStyle w:val="Compact"/>
      </w:pPr>
      <w:r>
        <w:t xml:space="preserve">Registro y envío de actividad</w:t>
      </w:r>
    </w:p>
    <w:bookmarkEnd w:id="111"/>
    <w:bookmarkStart w:id="112" w:name="sec:sint3.-integración.-radicar-ítem-1"/>
    <w:p>
      <w:pPr>
        <w:pStyle w:val="Heading3"/>
      </w:pPr>
      <w:r>
        <w:t xml:space="preserve">SINT3. Integración. Radicar ítem</w:t>
      </w:r>
    </w:p>
    <w:p>
      <w:pPr>
        <w:pStyle w:val="FirstParagraph"/>
      </w:pPr>
      <w:r>
        <w:t xml:space="preserve">Tareas de desarrollo</w:t>
      </w:r>
    </w:p>
    <w:p>
      <w:pPr>
        <w:numPr>
          <w:ilvl w:val="0"/>
          <w:numId w:val="1048"/>
        </w:numPr>
        <w:pStyle w:val="Compact"/>
      </w:pPr>
      <w:r>
        <w:t xml:space="preserve">Interoperabilidad IOP1. Transporte / Entrega Consulta Negocio</w:t>
      </w:r>
    </w:p>
    <w:p>
      <w:pPr>
        <w:numPr>
          <w:ilvl w:val="0"/>
          <w:numId w:val="1048"/>
        </w:numPr>
        <w:pStyle w:val="Compact"/>
      </w:pPr>
      <w:r>
        <w:t xml:space="preserve">Modelo de datos (XML, RBDMS, …)</w:t>
      </w:r>
    </w:p>
    <w:p>
      <w:pPr>
        <w:numPr>
          <w:ilvl w:val="0"/>
          <w:numId w:val="1048"/>
        </w:numPr>
        <w:pStyle w:val="Compact"/>
      </w:pPr>
      <w:r>
        <w:t xml:space="preserve">Esquema de datos (XSD, DTD, JSON-E…)</w:t>
      </w:r>
    </w:p>
    <w:p>
      <w:pPr>
        <w:numPr>
          <w:ilvl w:val="0"/>
          <w:numId w:val="1048"/>
        </w:numPr>
        <w:pStyle w:val="Compact"/>
      </w:pPr>
      <w:r>
        <w:t xml:space="preserve">Contratos de interoperabilidad (WSDL, API…)</w:t>
      </w:r>
    </w:p>
    <w:p>
      <w:pPr>
        <w:numPr>
          <w:ilvl w:val="0"/>
          <w:numId w:val="1048"/>
        </w:numPr>
        <w:pStyle w:val="Compact"/>
      </w:pPr>
      <w:r>
        <w:t xml:space="preserve">Mensajes petición IN (API, XML…)</w:t>
      </w:r>
    </w:p>
    <w:p>
      <w:pPr>
        <w:numPr>
          <w:ilvl w:val="0"/>
          <w:numId w:val="1048"/>
        </w:numPr>
        <w:pStyle w:val="Compact"/>
      </w:pPr>
      <w:r>
        <w:t xml:space="preserve">Mensajes respuesta OUT (API, XML…)</w:t>
      </w:r>
    </w:p>
    <w:p>
      <w:pPr>
        <w:numPr>
          <w:ilvl w:val="0"/>
          <w:numId w:val="1048"/>
        </w:numPr>
        <w:pStyle w:val="Compact"/>
      </w:pPr>
      <w:r>
        <w:t xml:space="preserve">Mensajes excepción (API, XML…)</w:t>
      </w:r>
    </w:p>
    <w:p>
      <w:pPr>
        <w:numPr>
          <w:ilvl w:val="0"/>
          <w:numId w:val="1048"/>
        </w:numPr>
        <w:pStyle w:val="Compact"/>
      </w:pPr>
      <w:r>
        <w:t xml:space="preserve">Transporte (REST, SOAP)</w:t>
      </w:r>
    </w:p>
    <w:p>
      <w:pPr>
        <w:numPr>
          <w:ilvl w:val="0"/>
          <w:numId w:val="1048"/>
        </w:numPr>
        <w:pStyle w:val="Compact"/>
      </w:pPr>
      <w:r>
        <w:t xml:space="preserve">Función lógica (JEE, …)</w:t>
      </w:r>
    </w:p>
    <w:p>
      <w:pPr>
        <w:numPr>
          <w:ilvl w:val="0"/>
          <w:numId w:val="1048"/>
        </w:numPr>
        <w:pStyle w:val="Compact"/>
      </w:pPr>
      <w:r>
        <w:t xml:space="preserve">Registro y envío de actividad</w:t>
      </w:r>
    </w:p>
    <w:bookmarkEnd w:id="112"/>
    <w:bookmarkStart w:id="113"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9"/>
        </w:numPr>
        <w:pStyle w:val="Compact"/>
      </w:pPr>
      <w:r>
        <w:t xml:space="preserve">Interoperabilidad IOP1. Transporte / Entrega Consulta Negocio</w:t>
      </w:r>
    </w:p>
    <w:p>
      <w:pPr>
        <w:numPr>
          <w:ilvl w:val="0"/>
          <w:numId w:val="1049"/>
        </w:numPr>
        <w:pStyle w:val="Compact"/>
      </w:pPr>
      <w:r>
        <w:t xml:space="preserve">Modelo de datos (XML, RBDMS, …)</w:t>
      </w:r>
    </w:p>
    <w:p>
      <w:pPr>
        <w:numPr>
          <w:ilvl w:val="0"/>
          <w:numId w:val="1049"/>
        </w:numPr>
        <w:pStyle w:val="Compact"/>
      </w:pPr>
      <w:r>
        <w:t xml:space="preserve">Esquema de datos (XSD, DTD, JSON-E…)</w:t>
      </w:r>
    </w:p>
    <w:p>
      <w:pPr>
        <w:numPr>
          <w:ilvl w:val="0"/>
          <w:numId w:val="1049"/>
        </w:numPr>
        <w:pStyle w:val="Compact"/>
      </w:pPr>
      <w:r>
        <w:t xml:space="preserve">Contratos de interoperabilidad (WSDL, API…)</w:t>
      </w:r>
    </w:p>
    <w:p>
      <w:pPr>
        <w:numPr>
          <w:ilvl w:val="0"/>
          <w:numId w:val="1049"/>
        </w:numPr>
        <w:pStyle w:val="Compact"/>
      </w:pPr>
      <w:r>
        <w:t xml:space="preserve">Mensajes petición IN (API, XML…)</w:t>
      </w:r>
    </w:p>
    <w:p>
      <w:pPr>
        <w:numPr>
          <w:ilvl w:val="0"/>
          <w:numId w:val="1049"/>
        </w:numPr>
        <w:pStyle w:val="Compact"/>
      </w:pPr>
      <w:r>
        <w:t xml:space="preserve">Mensajes respuesta OUT (API, XML…)</w:t>
      </w:r>
    </w:p>
    <w:p>
      <w:pPr>
        <w:numPr>
          <w:ilvl w:val="0"/>
          <w:numId w:val="1049"/>
        </w:numPr>
        <w:pStyle w:val="Compact"/>
      </w:pPr>
      <w:r>
        <w:t xml:space="preserve">Mensajes excepción (API, XML…)</w:t>
      </w:r>
    </w:p>
    <w:p>
      <w:pPr>
        <w:numPr>
          <w:ilvl w:val="0"/>
          <w:numId w:val="1049"/>
        </w:numPr>
        <w:pStyle w:val="Compact"/>
      </w:pPr>
      <w:r>
        <w:t xml:space="preserve">Transporte (REST, SOAP)</w:t>
      </w:r>
    </w:p>
    <w:p>
      <w:pPr>
        <w:numPr>
          <w:ilvl w:val="0"/>
          <w:numId w:val="1049"/>
        </w:numPr>
        <w:pStyle w:val="Compact"/>
      </w:pPr>
      <w:r>
        <w:t xml:space="preserve">Función lógica (JEE, …)</w:t>
      </w:r>
    </w:p>
    <w:p>
      <w:pPr>
        <w:numPr>
          <w:ilvl w:val="0"/>
          <w:numId w:val="1049"/>
        </w:numPr>
        <w:pStyle w:val="Compact"/>
      </w:pPr>
      <w:r>
        <w:t xml:space="preserve">Registro y envío de actividad</w:t>
      </w:r>
    </w:p>
    <w:bookmarkEnd w:id="113"/>
    <w:bookmarkStart w:id="114" w:name="sec:plan-producción-scrum-y-gerencia-1"/>
    <w:p>
      <w:pPr>
        <w:pStyle w:val="Heading3"/>
      </w:pPr>
      <w:r>
        <w:t xml:space="preserve">Plan Producción: Scrum y Gerencia</w:t>
      </w:r>
    </w:p>
    <w:bookmarkEnd w:id="114"/>
    <w:bookmarkEnd w:id="115"/>
    <w:bookmarkStart w:id="121"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117" name="Picture"/>
            <a:graphic>
              <a:graphicData uri="http://schemas.openxmlformats.org/drawingml/2006/picture">
                <pic:pic>
                  <pic:nvPicPr>
                    <pic:cNvPr descr="images/06.ENTRG.1n.1a.1.DespliegueEntregasdeRequerimiento.png" id="118" name="Picture"/>
                    <pic:cNvPicPr>
                      <a:picLocks noChangeArrowheads="1" noChangeAspect="1"/>
                    </pic:cNvPicPr>
                  </pic:nvPicPr>
                  <pic:blipFill>
                    <a:blip r:embed="rId116"/>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11: 06.ENTRG.1n.1a.1. Despliegue Entregas de Requerimiento.</w:t>
      </w:r>
      <w:r>
        <w:t xml:space="preserve"> </w:t>
      </w:r>
      <w:r>
        <w:rPr>
          <w:iCs/>
          <w:i/>
        </w:rPr>
        <w:t xml:space="preserve">Fuente: Repositorio arquitectura Integración JEP (2024)</w:t>
      </w:r>
    </w:p>
    <w:bookmarkStart w:id="120" w:name="sec:catálogo-de-elementos-9"/>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19" w:name="X8867828d71e0b0cd7cb7e8656d52568a93ea2ef"/>
    <w:p>
      <w:pPr>
        <w:pStyle w:val="Heading4"/>
      </w:pPr>
      <w:r>
        <w:t xml:space="preserve">Índice de la documentación (casos de uso)</w:t>
      </w:r>
    </w:p>
    <w:p>
      <w:pPr>
        <w:numPr>
          <w:ilvl w:val="0"/>
          <w:numId w:val="1050"/>
        </w:numPr>
        <w:pStyle w:val="Compact"/>
      </w:pPr>
      <w:r>
        <w:t xml:space="preserve">Integración. Ingreso a Conti</w:t>
      </w:r>
    </w:p>
    <w:p>
      <w:pPr>
        <w:numPr>
          <w:ilvl w:val="0"/>
          <w:numId w:val="1050"/>
        </w:numPr>
        <w:pStyle w:val="Compact"/>
      </w:pPr>
      <w:r>
        <w:t xml:space="preserve">Integración. Consulta ítem de Conti</w:t>
      </w:r>
    </w:p>
    <w:p>
      <w:pPr>
        <w:numPr>
          <w:ilvl w:val="0"/>
          <w:numId w:val="1050"/>
        </w:numPr>
        <w:pStyle w:val="Compact"/>
      </w:pPr>
      <w:r>
        <w:t xml:space="preserve">Integración. Radicar ítem</w:t>
      </w:r>
    </w:p>
    <w:p>
      <w:pPr>
        <w:numPr>
          <w:ilvl w:val="0"/>
          <w:numId w:val="1050"/>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51"/>
        </w:numPr>
      </w:pPr>
      <w:r>
        <w:t xml:space="preserve">Interoperabilidad IOP1. Transporte / Entrega Consulta Negocio</w:t>
      </w:r>
    </w:p>
    <w:p>
      <w:pPr>
        <w:numPr>
          <w:ilvl w:val="0"/>
          <w:numId w:val="1051"/>
        </w:numPr>
      </w:pPr>
      <w:r>
        <w:t xml:space="preserve">Modelo de datos (XML, RBDMS, …)</w:t>
      </w:r>
    </w:p>
    <w:p>
      <w:pPr>
        <w:numPr>
          <w:ilvl w:val="0"/>
          <w:numId w:val="1051"/>
        </w:numPr>
      </w:pPr>
      <w:r>
        <w:t xml:space="preserve">Esquema de datos (XSD, DTD, JSON-E…)</w:t>
      </w:r>
    </w:p>
    <w:p>
      <w:pPr>
        <w:numPr>
          <w:ilvl w:val="0"/>
          <w:numId w:val="1051"/>
        </w:numPr>
      </w:pPr>
      <w:r>
        <w:t xml:space="preserve">Contratos de interoperabilidad (WSDL, API…)</w:t>
      </w:r>
    </w:p>
    <w:p>
      <w:pPr>
        <w:numPr>
          <w:ilvl w:val="0"/>
          <w:numId w:val="1051"/>
        </w:numPr>
      </w:pPr>
      <w:r>
        <w:t xml:space="preserve">Mensajes petición IN (API, XML…)</w:t>
      </w:r>
    </w:p>
    <w:p>
      <w:pPr>
        <w:numPr>
          <w:ilvl w:val="0"/>
          <w:numId w:val="1051"/>
        </w:numPr>
      </w:pPr>
      <w:r>
        <w:t xml:space="preserve">Mensajes respuesta OUT (API, XML…)</w:t>
      </w:r>
    </w:p>
    <w:p>
      <w:pPr>
        <w:numPr>
          <w:ilvl w:val="0"/>
          <w:numId w:val="1051"/>
        </w:numPr>
      </w:pPr>
      <w:r>
        <w:t xml:space="preserve">Mensajes excepción (API, XML…)</w:t>
      </w:r>
    </w:p>
    <w:p>
      <w:pPr>
        <w:numPr>
          <w:ilvl w:val="0"/>
          <w:numId w:val="1051"/>
        </w:numPr>
      </w:pPr>
      <w:r>
        <w:t xml:space="preserve">Transporte (REST, SOAP)</w:t>
      </w:r>
    </w:p>
    <w:p>
      <w:pPr>
        <w:numPr>
          <w:ilvl w:val="0"/>
          <w:numId w:val="1051"/>
        </w:numPr>
      </w:pPr>
      <w:r>
        <w:t xml:space="preserve">Función lógica (JEE, …)</w:t>
      </w:r>
    </w:p>
    <w:p>
      <w:pPr>
        <w:numPr>
          <w:ilvl w:val="0"/>
          <w:numId w:val="1051"/>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Cluster | Application Collaboration | Orquestador de nodos y servicios (contendores) de la JEP.</w:t>
      </w:r>
      <w:r>
        <w:t xml:space="preserve"> </w:t>
      </w:r>
      <w:r>
        <w:t xml:space="preserve">|</w:t>
      </w:r>
    </w:p>
    <w:p>
      <w:pPr>
        <w:pStyle w:val="FirstParagraph"/>
      </w:pPr>
      <w:r>
        <w:t xml:space="preserve">Table: Elementos de la vista. {#tbl:tblelement-06.ENTRG.1n.1a.1.DespliegueEntregasdeRequerimiento-id}</w:t>
      </w:r>
    </w:p>
    <w:p>
      <w:pPr>
        <w:pStyle w:val="BodyText"/>
      </w:pPr>
    </w:p>
    <w:bookmarkEnd w:id="119"/>
    <w:bookmarkEnd w:id="120"/>
    <w:bookmarkEnd w:id="121"/>
    <w:bookmarkEnd w:id="12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116" Target="media/rId116.png" /><Relationship Type="http://schemas.openxmlformats.org/officeDocument/2006/relationships/image" Id="rId102" Target="media/rId102.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1.4fdd500 - Compilación para entrega - Tue, 19 Nov 2024 21:58:36 +0000</dc:creator>
  <dc:language>en</dc:language>
  <dc:subject>Implementación Proyecto JEP</dc:subject>
  <cp:keywords>Integración, Interoperabilidad, JEP, Softgic, Caso de uso</cp:keywords>
  <dcterms:created xsi:type="dcterms:W3CDTF">2024-11-19T22:03:59Z</dcterms:created>
  <dcterms:modified xsi:type="dcterms:W3CDTF">2024-11-19T22:03:59Z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