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5.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4"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Iniciativas.PETISG.png" id="51" name="Picture"/>
                    <pic:cNvPicPr>
                      <a:picLocks noChangeArrowheads="1" noChangeAspect="1"/>
                    </pic:cNvPicPr>
                  </pic:nvPicPr>
                  <pic:blipFill>
                    <a:blip r:embed="rId49"/>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3: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2"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2"/>
    <w:bookmarkStart w:id="53"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53"/>
    <w:bookmarkEnd w:id="54"/>
    <w:bookmarkStart w:id="63"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5519057"/>
            <wp:effectExtent b="0" l="0" r="0" t="0"/>
            <wp:docPr descr="06.Estrategia. 1-2-3. Fuente: Propuesta servicios de ingeniería y evaluación de arquitectura Arquitectura de Aplicaciones Secretaria de la Alcaldía de Bogotá (2025)" title="" id="56" name="Picture"/>
            <a:graphic>
              <a:graphicData uri="http://schemas.openxmlformats.org/drawingml/2006/picture">
                <pic:pic>
                  <pic:nvPicPr>
                    <pic:cNvPr descr="images/06.Estrategia.1-2-3.png" id="57" name="Picture"/>
                    <pic:cNvPicPr>
                      <a:picLocks noChangeArrowheads="1" noChangeAspect="1"/>
                    </pic:cNvPicPr>
                  </pic:nvPicPr>
                  <pic:blipFill>
                    <a:blip r:embed="rId55"/>
                    <a:stretch>
                      <a:fillRect/>
                    </a:stretch>
                  </pic:blipFill>
                  <pic:spPr bwMode="auto">
                    <a:xfrm>
                      <a:off x="0" y="0"/>
                      <a:ext cx="6400800" cy="5519057"/>
                    </a:xfrm>
                    <a:prstGeom prst="rect">
                      <a:avLst/>
                    </a:prstGeom>
                    <a:noFill/>
                    <a:ln w="9525">
                      <a:noFill/>
                      <a:headEnd/>
                      <a:tailEnd/>
                    </a:ln>
                  </pic:spPr>
                </pic:pic>
              </a:graphicData>
            </a:graphic>
          </wp:inline>
        </w:drawing>
      </w:r>
    </w:p>
    <w:p>
      <w:pPr>
        <w:pStyle w:val="ImageCaption"/>
      </w:pPr>
      <w:r>
        <w:t xml:space="preserve">Figura 4: 06.Estrategia. 1-2-3.</w:t>
      </w:r>
      <w:r>
        <w:t xml:space="preserve"> </w:t>
      </w:r>
      <w:r>
        <w:rPr>
          <w:iCs/>
          <w:i/>
        </w:rPr>
        <w:t xml:space="preserve">Fuente: Propuesta servicios de ingeniería y evaluación de arquitectura Arquitectura de Aplicaciones Secretaria de la Alcaldía de Bogotá (2025)</w:t>
      </w:r>
    </w:p>
    <w:bookmarkStart w:id="58" w:name="X541a345f38ca9e230104d66f9c928783194dd46"/>
    <w:p>
      <w:pPr>
        <w:pStyle w:val="Heading3"/>
      </w:pPr>
      <w:r>
        <w:t xml:space="preserve">Tecnología como Habilitador Transversal (PETI OTIC)</w:t>
      </w:r>
    </w:p>
    <w:p>
      <w:pPr>
        <w:pStyle w:val="FirstParagraph"/>
      </w:pP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Objetivos SG</w:t>
      </w:r>
    </w:p>
    <w:bookmarkEnd w:id="58"/>
    <w:bookmarkStart w:id="59"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9"/>
    <w:bookmarkStart w:id="60"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Acciones</w:t>
      </w:r>
    </w:p>
    <w:bookmarkEnd w:id="60"/>
    <w:bookmarkStart w:id="61"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61"/>
    <w:bookmarkStart w:id="62"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Iniciativas 2025 Secretaría General de la Alcaldía Mayor de Bogotá D.C.</w:t>
      </w:r>
      <w:r>
        <w:t xml:space="preserve"> </w:t>
      </w:r>
      <w:r>
        <w:t xml:space="preserve">Iniciativas y proyectos en marcha de la entidad principal de la administración distrital, período 2025.</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2025-07-28T14:53:18Z</dcterms:created>
  <dcterms:modified xsi:type="dcterms:W3CDTF">2025-07-28T14:53:18Z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